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宋体" w:eastAsia="黑体"/>
          <w:sz w:val="36"/>
          <w:szCs w:val="36"/>
          <w:lang w:eastAsia="zh-CN"/>
        </w:rPr>
      </w:pPr>
      <w:bookmarkStart w:id="0" w:name="OLE_LINK2"/>
      <w:bookmarkStart w:id="1" w:name="OLE_LINK3"/>
      <w:r>
        <w:rPr>
          <w:rFonts w:hint="eastAsia" w:ascii="黑体" w:hAnsi="宋体" w:eastAsia="黑体"/>
          <w:sz w:val="36"/>
          <w:szCs w:val="36"/>
          <w:lang w:eastAsia="zh-CN"/>
        </w:rPr>
        <w:t>温州市轨道交通保护区审查业务办事指南</w:t>
      </w:r>
    </w:p>
    <w:p>
      <w:pPr>
        <w:spacing w:line="360" w:lineRule="exact"/>
        <w:jc w:val="center"/>
        <w:rPr>
          <w:rFonts w:ascii="宋体" w:hAnsi="宋体"/>
          <w:sz w:val="28"/>
          <w:szCs w:val="28"/>
          <w:lang w:eastAsia="zh-CN"/>
        </w:rPr>
      </w:pPr>
      <w:r>
        <w:rPr>
          <w:rFonts w:hint="eastAsia" w:ascii="宋体" w:hAnsi="宋体"/>
          <w:sz w:val="28"/>
          <w:szCs w:val="28"/>
          <w:lang w:eastAsia="zh-CN"/>
        </w:rPr>
        <w:t>（2022年</w:t>
      </w:r>
      <w:r>
        <w:rPr>
          <w:rFonts w:ascii="宋体" w:hAnsi="宋体"/>
          <w:sz w:val="28"/>
          <w:szCs w:val="28"/>
          <w:lang w:eastAsia="zh-CN"/>
        </w:rPr>
        <w:t>12</w:t>
      </w:r>
      <w:r>
        <w:rPr>
          <w:rFonts w:hint="eastAsia" w:ascii="宋体" w:hAnsi="宋体"/>
          <w:sz w:val="28"/>
          <w:szCs w:val="28"/>
          <w:lang w:eastAsia="zh-CN"/>
        </w:rPr>
        <w:t>月版）</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b/>
          <w:sz w:val="21"/>
          <w:szCs w:val="21"/>
          <w:lang w:eastAsia="zh-CN"/>
        </w:rPr>
      </w:pPr>
      <w:bookmarkStart w:id="2" w:name="OLE_LINK1"/>
      <w:r>
        <w:rPr>
          <w:rFonts w:hint="eastAsia" w:ascii="宋体" w:hAnsi="宋体"/>
          <w:b/>
          <w:sz w:val="21"/>
          <w:szCs w:val="21"/>
          <w:lang w:eastAsia="zh-CN"/>
        </w:rPr>
        <w:t>一、办事依据</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1、《城市轨道交通运营管理规定》（中华人民共和国交通运输部令2018年第8号）</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2、《温州市城市轨道交通管理办法（试行）》（温州市人民政府令第3号）</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3、《温州市铁投集团轨道交通保护区管理办法》 温铁投〔2022〕85号</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b/>
          <w:sz w:val="21"/>
          <w:szCs w:val="21"/>
          <w:lang w:eastAsia="zh-CN"/>
        </w:rPr>
      </w:pPr>
      <w:r>
        <w:rPr>
          <w:rFonts w:hint="eastAsia" w:ascii="宋体" w:hAnsi="宋体"/>
          <w:b/>
          <w:sz w:val="21"/>
          <w:szCs w:val="21"/>
          <w:lang w:eastAsia="zh-CN"/>
        </w:rPr>
        <w:t>二、办事范围及对象</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1、办事范围：</w:t>
      </w:r>
      <w:bookmarkStart w:id="3" w:name="OLE_LINK4"/>
      <w:r>
        <w:rPr>
          <w:rFonts w:hint="eastAsia" w:ascii="宋体" w:hAnsi="宋体"/>
          <w:sz w:val="21"/>
          <w:szCs w:val="21"/>
          <w:lang w:eastAsia="zh-CN"/>
        </w:rPr>
        <w:t>《温州市城市轨道交通管理办法（试行）》第二十条</w:t>
      </w:r>
      <w:bookmarkEnd w:id="3"/>
      <w:r>
        <w:rPr>
          <w:rFonts w:hint="eastAsia" w:ascii="宋体" w:hAnsi="宋体"/>
          <w:sz w:val="21"/>
          <w:szCs w:val="21"/>
          <w:lang w:eastAsia="zh-CN"/>
        </w:rPr>
        <w:t>、第二十二条规定的保护区范围内的各种施工作业活动。</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2、办事对象：项目建设单位（申请人）</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3、保护区范围：</w:t>
      </w:r>
    </w:p>
    <w:tbl>
      <w:tblPr>
        <w:tblStyle w:val="21"/>
        <w:tblpPr w:leftFromText="180" w:rightFromText="180" w:vertAnchor="text" w:horzAnchor="margin" w:tblpXSpec="center" w:tblpY="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4285"/>
        <w:gridCol w:w="1350"/>
        <w:gridCol w:w="1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线路类别</w:t>
            </w:r>
          </w:p>
        </w:tc>
        <w:tc>
          <w:tcPr>
            <w:tcW w:w="4285"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保护区计算类型</w:t>
            </w:r>
          </w:p>
        </w:tc>
        <w:tc>
          <w:tcPr>
            <w:tcW w:w="1350"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特别保护区</w:t>
            </w:r>
          </w:p>
        </w:tc>
        <w:tc>
          <w:tcPr>
            <w:tcW w:w="1438"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控制保护区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Merge w:val="restart"/>
            <w:vAlign w:val="center"/>
          </w:tcPr>
          <w:p>
            <w:pPr>
              <w:spacing w:after="0" w:line="240" w:lineRule="atLeast"/>
              <w:rPr>
                <w:rFonts w:ascii="宋体" w:hAnsi="宋体"/>
                <w:sz w:val="21"/>
                <w:szCs w:val="21"/>
                <w:lang w:eastAsia="zh-CN"/>
              </w:rPr>
            </w:pPr>
            <w:r>
              <w:rPr>
                <w:rFonts w:hint="eastAsia" w:ascii="宋体" w:hAnsi="宋体"/>
                <w:sz w:val="21"/>
                <w:szCs w:val="21"/>
                <w:lang w:eastAsia="zh-CN"/>
              </w:rPr>
              <w:t>在建线路和已建成线路</w:t>
            </w: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地下车站和隧道结构外边线外侧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50m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地面车站和地面线路、高架车站和高架线路结构外侧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车站出入口、风亭、冷却塔、主变电所、直升电梯等建筑物、构筑物外边线和车辆基地用地范围其外侧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10m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过江河、湖泊等水域的桥梁、隧道结构外边线外侧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50m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100m</w:t>
            </w:r>
          </w:p>
        </w:tc>
      </w:tr>
    </w:tbl>
    <w:p>
      <w:pPr>
        <w:keepNext w:val="0"/>
        <w:keepLines w:val="0"/>
        <w:pageBreakBefore w:val="0"/>
        <w:widowControl/>
        <w:kinsoku/>
        <w:wordWrap/>
        <w:overflowPunct/>
        <w:topLinePunct w:val="0"/>
        <w:autoSpaceDE/>
        <w:autoSpaceDN/>
        <w:bidi w:val="0"/>
        <w:adjustRightInd/>
        <w:snapToGrid/>
        <w:spacing w:after="0" w:line="400" w:lineRule="exact"/>
        <w:ind w:firstLine="422" w:firstLineChars="200"/>
        <w:jc w:val="both"/>
        <w:textAlignment w:val="auto"/>
        <w:rPr>
          <w:rFonts w:ascii="宋体" w:hAnsi="宋体"/>
          <w:bCs/>
          <w:sz w:val="21"/>
          <w:szCs w:val="21"/>
          <w:lang w:eastAsia="zh-CN"/>
        </w:rPr>
      </w:pPr>
      <w:r>
        <w:rPr>
          <w:rFonts w:hint="eastAsia" w:ascii="宋体" w:hAnsi="宋体"/>
          <w:b/>
          <w:sz w:val="21"/>
          <w:szCs w:val="21"/>
          <w:lang w:eastAsia="zh-CN"/>
        </w:rPr>
        <w:t>注</w:t>
      </w:r>
      <w:r>
        <w:rPr>
          <w:rFonts w:hint="eastAsia" w:ascii="宋体" w:hAnsi="宋体"/>
          <w:bCs/>
          <w:sz w:val="21"/>
          <w:szCs w:val="21"/>
          <w:lang w:eastAsia="zh-CN"/>
        </w:rPr>
        <w:t>：保护区范围包括该范围内地下、地表和空中；当遇特殊的外部作业（如爆破、挤土桩等）和水文地质时，虽然外部作业所在地超过上表轨道交通保护区范围，但事实上会对轨道交通设施产生影响的，保护区范围应扩大至该项目所在处。</w:t>
      </w:r>
    </w:p>
    <w:p>
      <w:pPr>
        <w:spacing w:after="0" w:line="400" w:lineRule="exact"/>
        <w:ind w:firstLine="292" w:firstLineChars="133"/>
        <w:rPr>
          <w:rFonts w:hint="eastAsia"/>
          <w:lang w:eastAsia="zh-CN"/>
        </w:rPr>
      </w:pPr>
      <w:r>
        <w:rPr>
          <w:rFonts w:hint="eastAsia"/>
          <w:lang w:val="en-US" w:eastAsia="zh-CN"/>
        </w:rPr>
        <w:t>4、</w:t>
      </w:r>
      <w:r>
        <w:rPr>
          <w:rFonts w:hint="eastAsia"/>
          <w:lang w:eastAsia="zh-CN"/>
        </w:rPr>
        <w:t>办事内容：</w:t>
      </w:r>
    </w:p>
    <w:p>
      <w:pPr>
        <w:keepNext w:val="0"/>
        <w:keepLines w:val="0"/>
        <w:pageBreakBefore w:val="0"/>
        <w:widowControl/>
        <w:kinsoku/>
        <w:wordWrap/>
        <w:overflowPunct/>
        <w:topLinePunct w:val="0"/>
        <w:autoSpaceDE/>
        <w:autoSpaceDN/>
        <w:bidi w:val="0"/>
        <w:adjustRightInd/>
        <w:snapToGrid/>
        <w:spacing w:after="0" w:line="440" w:lineRule="exact"/>
        <w:ind w:firstLine="292" w:firstLineChars="133"/>
        <w:textAlignment w:val="auto"/>
        <w:rPr>
          <w:rFonts w:hint="eastAsia"/>
          <w:lang w:eastAsia="zh-CN"/>
        </w:rPr>
      </w:pPr>
      <w:r>
        <w:rPr>
          <w:rFonts w:hint="eastAsia"/>
          <w:lang w:eastAsia="zh-CN"/>
        </w:rPr>
        <w:t>①</w:t>
      </w:r>
      <w:r>
        <w:rPr>
          <w:rFonts w:hint="eastAsia" w:ascii="宋体" w:hAnsi="宋体"/>
          <w:sz w:val="21"/>
          <w:szCs w:val="21"/>
          <w:lang w:eastAsia="zh-CN"/>
        </w:rPr>
        <w:t>项目建设单位（申请人）</w:t>
      </w:r>
      <w:r>
        <w:rPr>
          <w:rFonts w:hint="eastAsia"/>
          <w:lang w:eastAsia="zh-CN"/>
        </w:rPr>
        <w:t>持申报材料到市铁投集团轨保办申请办理保护区施工作业相关手续（相关申报流程、材料、申请表要求参见后续内容及附件）；市铁投集团根据项目安全影响等级组织轨道交通安全防护方案技术审查，审查通过后出具书面审查意见单。</w:t>
      </w:r>
    </w:p>
    <w:p>
      <w:pPr>
        <w:keepNext w:val="0"/>
        <w:keepLines w:val="0"/>
        <w:pageBreakBefore w:val="0"/>
        <w:widowControl/>
        <w:kinsoku/>
        <w:wordWrap/>
        <w:overflowPunct/>
        <w:topLinePunct w:val="0"/>
        <w:autoSpaceDE/>
        <w:autoSpaceDN/>
        <w:bidi w:val="0"/>
        <w:adjustRightInd/>
        <w:snapToGrid/>
        <w:spacing w:after="0" w:line="440" w:lineRule="exact"/>
        <w:ind w:firstLine="292" w:firstLineChars="133"/>
        <w:textAlignment w:val="auto"/>
        <w:rPr>
          <w:rFonts w:hint="eastAsia"/>
          <w:lang w:eastAsia="zh-CN"/>
        </w:rPr>
      </w:pPr>
      <w:r>
        <w:rPr>
          <w:rFonts w:hint="eastAsia"/>
          <w:lang w:eastAsia="zh-CN"/>
        </w:rPr>
        <w:t>②保护区建设项目报审分为设计阶段、施工准备阶段、正式施工阶段，分别完成施工图设计、专项施工方案和开工条件审查后方可开展保护区施工作业。</w:t>
      </w:r>
    </w:p>
    <w:p>
      <w:pPr>
        <w:rPr>
          <w:rFonts w:hint="eastAsia"/>
          <w:lang w:eastAsia="zh-CN"/>
        </w:rPr>
      </w:pPr>
      <w:r>
        <w:rPr>
          <w:rFonts w:hint="eastAsia"/>
          <w:lang w:eastAsia="zh-CN"/>
        </w:rPr>
        <w:br w:type="page"/>
      </w:r>
    </w:p>
    <w:p>
      <w:pPr>
        <w:spacing w:after="0" w:line="400" w:lineRule="exact"/>
        <w:rPr>
          <w:rFonts w:ascii="宋体" w:hAnsi="宋体"/>
          <w:b/>
          <w:sz w:val="21"/>
          <w:szCs w:val="21"/>
          <w:lang w:eastAsia="zh-CN"/>
        </w:rPr>
      </w:pPr>
      <w:r>
        <w:rPr>
          <w:rFonts w:hint="eastAsia" w:ascii="宋体" w:hAnsi="宋体"/>
          <w:b/>
          <w:sz w:val="21"/>
          <w:szCs w:val="21"/>
          <w:lang w:eastAsia="zh-CN"/>
        </w:rPr>
        <w:t>三、办事流程</w:t>
      </w:r>
    </w:p>
    <w:tbl>
      <w:tblPr>
        <w:tblStyle w:val="22"/>
        <w:tblpPr w:leftFromText="180" w:rightFromText="180" w:vertAnchor="text" w:tblpXSpec="center" w:tblpY="1"/>
        <w:tblOverlap w:val="never"/>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119"/>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281" w:type="dxa"/>
            <w:vMerge w:val="restart"/>
            <w:vAlign w:val="center"/>
          </w:tcPr>
          <w:p>
            <w:pPr>
              <w:widowControl w:val="0"/>
              <w:spacing w:after="0"/>
              <w:jc w:val="center"/>
              <w:rPr>
                <w:rFonts w:ascii="宋体" w:hAnsi="宋体"/>
                <w:b/>
                <w:sz w:val="21"/>
                <w:szCs w:val="21"/>
                <w:lang w:eastAsia="zh-CN"/>
              </w:rPr>
            </w:pPr>
            <w:r>
              <w:rPr>
                <w:rFonts w:hint="eastAsia" w:ascii="宋体" w:hAnsi="宋体"/>
                <w:b w:val="0"/>
                <w:bCs/>
                <w:sz w:val="21"/>
                <w:szCs w:val="21"/>
                <w:lang w:eastAsia="zh-CN"/>
              </w:rPr>
              <w:t>业务咨询及受理</w:t>
            </w:r>
          </w:p>
        </w:tc>
        <w:tc>
          <w:tcPr>
            <w:tcW w:w="1119" w:type="dxa"/>
            <w:vAlign w:val="center"/>
          </w:tcPr>
          <w:p>
            <w:pPr>
              <w:widowControl w:val="0"/>
              <w:jc w:val="center"/>
              <w:rPr>
                <w:rFonts w:ascii="宋体" w:hAnsi="宋体"/>
                <w:bCs/>
                <w:sz w:val="21"/>
                <w:szCs w:val="21"/>
                <w:lang w:eastAsia="zh-CN"/>
              </w:rPr>
            </w:pPr>
            <w:r>
              <w:rPr>
                <w:rFonts w:hint="eastAsia" w:ascii="宋体" w:hAnsi="宋体"/>
                <w:bCs/>
                <w:sz w:val="21"/>
                <w:szCs w:val="21"/>
                <w:lang w:eastAsia="zh-CN"/>
              </w:rPr>
              <w:t>联系方式</w:t>
            </w:r>
          </w:p>
        </w:tc>
        <w:tc>
          <w:tcPr>
            <w:tcW w:w="6015" w:type="dxa"/>
            <w:vAlign w:val="center"/>
          </w:tcPr>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①</w:t>
            </w:r>
            <w:r>
              <w:rPr>
                <w:rFonts w:hint="eastAsia" w:ascii="宋体" w:hAnsi="宋体"/>
                <w:b/>
                <w:bCs/>
                <w:sz w:val="21"/>
                <w:szCs w:val="21"/>
                <w:lang w:eastAsia="zh-CN"/>
              </w:rPr>
              <w:t>技术审查受理部门：温州市铁投集团前期技术部（轨保办）</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受理地址：温州市鹿城区温州大道2305号轨道交通控制中心大楼1402室</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联系电话：0577-89727551 蒋女士（业务咨询）</w:t>
            </w:r>
          </w:p>
          <w:p>
            <w:pPr>
              <w:widowControl w:val="0"/>
              <w:spacing w:after="0" w:line="400" w:lineRule="exact"/>
              <w:ind w:firstLine="1050" w:firstLineChars="500"/>
              <w:jc w:val="both"/>
              <w:rPr>
                <w:rFonts w:ascii="宋体" w:hAnsi="宋体"/>
                <w:sz w:val="21"/>
                <w:szCs w:val="21"/>
                <w:lang w:eastAsia="zh-CN"/>
              </w:rPr>
            </w:pPr>
            <w:r>
              <w:rPr>
                <w:rFonts w:hint="eastAsia" w:ascii="宋体" w:hAnsi="宋体"/>
                <w:sz w:val="21"/>
                <w:szCs w:val="21"/>
                <w:lang w:eastAsia="zh-CN"/>
              </w:rPr>
              <w:t>0577-89727560 余先生（技术审查）</w:t>
            </w:r>
          </w:p>
          <w:p>
            <w:pPr>
              <w:widowControl w:val="0"/>
              <w:spacing w:after="0" w:line="400" w:lineRule="exact"/>
              <w:ind w:firstLine="1050" w:firstLineChars="500"/>
              <w:jc w:val="both"/>
              <w:rPr>
                <w:rFonts w:ascii="宋体" w:hAnsi="宋体"/>
                <w:sz w:val="21"/>
                <w:szCs w:val="21"/>
                <w:lang w:eastAsia="zh-CN"/>
              </w:rPr>
            </w:pPr>
            <w:r>
              <w:rPr>
                <w:rFonts w:hint="eastAsia" w:ascii="宋体" w:hAnsi="宋体"/>
                <w:sz w:val="21"/>
                <w:szCs w:val="21"/>
                <w:lang w:eastAsia="zh-CN"/>
              </w:rPr>
              <w:t>0577-89727561 邱先生（技术审查）</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受理时间：8:30~11:30，14:00~17:30（节假日除外）</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②</w:t>
            </w:r>
            <w:r>
              <w:rPr>
                <w:rFonts w:hint="eastAsia" w:ascii="宋体" w:hAnsi="宋体"/>
                <w:b/>
                <w:bCs/>
                <w:sz w:val="21"/>
                <w:szCs w:val="21"/>
                <w:lang w:eastAsia="zh-CN"/>
              </w:rPr>
              <w:t>运营线路保护区工程监管部门：温州市铁投集团运营分分公司</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受理地址：温州市鹿城区温州大道2305号轨道交通控制中心大楼907室</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联系电话：0577-89727542 夏先生（运营线路安全协议签订、开工申请审批、施工过程监管）</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③</w:t>
            </w:r>
            <w:r>
              <w:rPr>
                <w:rFonts w:hint="eastAsia" w:ascii="宋体" w:hAnsi="宋体"/>
                <w:b/>
                <w:bCs/>
                <w:sz w:val="21"/>
                <w:szCs w:val="21"/>
                <w:lang w:eastAsia="zh-CN"/>
              </w:rPr>
              <w:t>在建线路保护区工程监管部门：温州市铁投集团建设分公司</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受理地址：温州市鹿城区温州大道2305号轨道交通控制中心大楼1003室</w:t>
            </w:r>
          </w:p>
          <w:p>
            <w:pPr>
              <w:widowControl w:val="0"/>
              <w:spacing w:after="0" w:line="400" w:lineRule="exact"/>
              <w:jc w:val="both"/>
              <w:rPr>
                <w:rFonts w:ascii="宋体" w:hAnsi="宋体"/>
                <w:bCs/>
                <w:sz w:val="21"/>
                <w:szCs w:val="21"/>
                <w:lang w:eastAsia="zh-CN"/>
              </w:rPr>
            </w:pPr>
            <w:r>
              <w:rPr>
                <w:rFonts w:hint="eastAsia" w:ascii="宋体" w:hAnsi="宋体"/>
                <w:sz w:val="21"/>
                <w:szCs w:val="21"/>
                <w:lang w:eastAsia="zh-CN"/>
              </w:rPr>
              <w:t>联系电话：0577-89727379 苟先生（在建线路安全协议签订、开工申请审批、施工过程监管）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注意事项</w:t>
            </w:r>
          </w:p>
        </w:tc>
        <w:tc>
          <w:tcPr>
            <w:tcW w:w="6015" w:type="dxa"/>
            <w:vAlign w:val="center"/>
          </w:tcPr>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sz w:val="21"/>
                <w:szCs w:val="21"/>
                <w:lang w:eastAsia="zh-CN"/>
              </w:rPr>
              <w:t>①</w:t>
            </w:r>
            <w:r>
              <w:rPr>
                <w:rFonts w:hint="eastAsia"/>
                <w:sz w:val="21"/>
                <w:szCs w:val="21"/>
                <w:lang w:eastAsia="zh-CN"/>
              </w:rPr>
              <w:t>为提高办事效率，建议申请人在正式报审之前，与轨保办充分对接报审方案，待轨保办初步判定外部作业项目对轨道交通结构的安全影响等级后，按照办事流程分级分阶段报审。</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sz w:val="21"/>
                <w:szCs w:val="21"/>
                <w:lang w:eastAsia="zh-CN"/>
              </w:rPr>
              <w:t>②根据外部作业类型、实施净距、规模等指标，外部作业项目对轨道交通结构安全影响等级划分为</w:t>
            </w:r>
            <w:r>
              <w:rPr>
                <w:rFonts w:hint="eastAsia" w:ascii="宋体" w:hAnsi="宋体"/>
                <w:color w:val="FF0000"/>
                <w:sz w:val="21"/>
                <w:szCs w:val="21"/>
                <w:lang w:eastAsia="zh-CN"/>
              </w:rPr>
              <w:t>特级、一级、</w:t>
            </w:r>
            <w:r>
              <w:rPr>
                <w:rFonts w:hint="eastAsia" w:ascii="宋体" w:hAnsi="宋体"/>
                <w:color w:val="FFC000"/>
                <w:sz w:val="21"/>
                <w:szCs w:val="21"/>
                <w:lang w:eastAsia="zh-CN"/>
              </w:rPr>
              <w:t>二级、三级</w:t>
            </w:r>
            <w:r>
              <w:rPr>
                <w:rFonts w:hint="eastAsia" w:ascii="宋体" w:hAnsi="宋体"/>
                <w:sz w:val="21"/>
                <w:szCs w:val="21"/>
                <w:lang w:eastAsia="zh-CN"/>
              </w:rPr>
              <w:t>以及</w:t>
            </w:r>
            <w:r>
              <w:rPr>
                <w:rFonts w:hint="eastAsia" w:ascii="宋体" w:hAnsi="宋体"/>
                <w:color w:val="00B0F0"/>
                <w:sz w:val="21"/>
                <w:szCs w:val="21"/>
                <w:lang w:eastAsia="zh-CN"/>
              </w:rPr>
              <w:t>简易工程</w:t>
            </w:r>
            <w:r>
              <w:rPr>
                <w:rFonts w:hint="eastAsia" w:ascii="宋体" w:hAnsi="宋体"/>
                <w:sz w:val="21"/>
                <w:szCs w:val="21"/>
                <w:lang w:eastAsia="zh-CN"/>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kern w:val="2"/>
                <w:sz w:val="21"/>
                <w:szCs w:val="21"/>
                <w:lang w:eastAsia="zh-CN" w:bidi="ar-SA"/>
              </w:rPr>
              <w:t>③若外部作业涉及特别保护区内勘察作业的，应开展勘查作业方案技术审查，申请人</w:t>
            </w:r>
            <w:r>
              <w:rPr>
                <w:rFonts w:hint="eastAsia" w:ascii="宋体" w:hAnsi="宋体"/>
                <w:sz w:val="21"/>
                <w:szCs w:val="21"/>
                <w:lang w:eastAsia="zh-CN"/>
              </w:rPr>
              <w:t>应在</w:t>
            </w:r>
            <w:r>
              <w:rPr>
                <w:rFonts w:hint="eastAsia" w:ascii="宋体" w:hAnsi="宋体"/>
                <w:kern w:val="2"/>
                <w:sz w:val="21"/>
                <w:szCs w:val="21"/>
                <w:lang w:eastAsia="zh-CN" w:bidi="ar-SA"/>
              </w:rPr>
              <w:t>勘察</w:t>
            </w:r>
            <w:r>
              <w:rPr>
                <w:rFonts w:hint="eastAsia" w:ascii="宋体" w:hAnsi="宋体"/>
                <w:sz w:val="21"/>
                <w:szCs w:val="21"/>
                <w:lang w:eastAsia="zh-CN"/>
              </w:rPr>
              <w:t>作业前向</w:t>
            </w:r>
            <w:r>
              <w:rPr>
                <w:rFonts w:hint="eastAsia" w:ascii="宋体" w:hAnsi="宋体"/>
                <w:kern w:val="2"/>
                <w:sz w:val="21"/>
                <w:szCs w:val="21"/>
                <w:lang w:eastAsia="zh-CN" w:bidi="ar-SA"/>
              </w:rPr>
              <w:t>轨保办提交相应报审材料</w:t>
            </w:r>
            <w:r>
              <w:rPr>
                <w:rFonts w:hint="eastAsia" w:ascii="宋体" w:hAnsi="宋体"/>
                <w:sz w:val="21"/>
                <w:szCs w:val="21"/>
                <w:lang w:eastAsia="zh-CN"/>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lang w:eastAsia="zh-CN"/>
              </w:rPr>
            </w:pPr>
            <w:r>
              <w:rPr>
                <w:rFonts w:hint="eastAsia"/>
                <w:sz w:val="21"/>
                <w:szCs w:val="21"/>
                <w:lang w:eastAsia="zh-CN"/>
              </w:rPr>
              <w:t>④若审核不满足相关技术要求的，将要求完善材料后重新报审。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4" w:hRule="atLeast"/>
          <w:jc w:val="center"/>
        </w:trPr>
        <w:tc>
          <w:tcPr>
            <w:tcW w:w="1281" w:type="dxa"/>
            <w:vMerge w:val="restart"/>
            <w:vAlign w:val="center"/>
          </w:tcPr>
          <w:p>
            <w:pPr>
              <w:widowControl w:val="0"/>
              <w:spacing w:after="0"/>
              <w:jc w:val="center"/>
              <w:rPr>
                <w:rFonts w:hint="eastAsia" w:ascii="宋体" w:hAnsi="宋体"/>
                <w:b w:val="0"/>
                <w:bCs/>
                <w:sz w:val="21"/>
                <w:szCs w:val="21"/>
                <w:lang w:eastAsia="zh-CN"/>
              </w:rPr>
            </w:pPr>
            <w:r>
              <w:rPr>
                <w:rFonts w:hint="eastAsia" w:ascii="宋体" w:hAnsi="宋体"/>
                <w:b w:val="0"/>
                <w:bCs/>
                <w:sz w:val="21"/>
                <w:szCs w:val="21"/>
                <w:lang w:eastAsia="zh-CN"/>
              </w:rPr>
              <w:t>报审流程</w:t>
            </w: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设计阶段报审</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6432" behindDoc="0" locked="0" layoutInCell="1" allowOverlap="1">
                  <wp:simplePos x="0" y="0"/>
                  <wp:positionH relativeFrom="column">
                    <wp:posOffset>0</wp:posOffset>
                  </wp:positionH>
                  <wp:positionV relativeFrom="paragraph">
                    <wp:posOffset>29210</wp:posOffset>
                  </wp:positionV>
                  <wp:extent cx="3682365" cy="328231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2365" cy="32823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施工准备阶段报审</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8480" behindDoc="0" locked="0" layoutInCell="1" allowOverlap="1">
                  <wp:simplePos x="0" y="0"/>
                  <wp:positionH relativeFrom="column">
                    <wp:posOffset>65405</wp:posOffset>
                  </wp:positionH>
                  <wp:positionV relativeFrom="paragraph">
                    <wp:posOffset>88265</wp:posOffset>
                  </wp:positionV>
                  <wp:extent cx="3498215" cy="3387090"/>
                  <wp:effectExtent l="0" t="0" r="6985" b="381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3498215" cy="33870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正式施工阶段</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7456" behindDoc="0" locked="0" layoutInCell="1" allowOverlap="1">
                  <wp:simplePos x="0" y="0"/>
                  <wp:positionH relativeFrom="column">
                    <wp:posOffset>3810</wp:posOffset>
                  </wp:positionH>
                  <wp:positionV relativeFrom="paragraph">
                    <wp:posOffset>10795</wp:posOffset>
                  </wp:positionV>
                  <wp:extent cx="3682365" cy="474472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2365" cy="47447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简易工程</w:t>
            </w:r>
          </w:p>
        </w:tc>
        <w:tc>
          <w:tcPr>
            <w:tcW w:w="6015" w:type="dxa"/>
            <w:vAlign w:val="center"/>
          </w:tcPr>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经市铁投集团轨保办确认对轨道交通无影响或影响较小的满足简易工程条件（见附件）的项目，申请人填写《温州市轨道交通保护区简易工程审查表》，轨保办审核通过后即可实施。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1281" w:type="dxa"/>
            <w:vMerge w:val="restart"/>
            <w:vAlign w:val="center"/>
          </w:tcPr>
          <w:p>
            <w:pPr>
              <w:widowControl w:val="0"/>
              <w:jc w:val="both"/>
              <w:rPr>
                <w:rFonts w:ascii="宋体" w:hAnsi="宋体"/>
                <w:bCs/>
                <w:sz w:val="21"/>
                <w:szCs w:val="21"/>
                <w:lang w:eastAsia="zh-CN"/>
              </w:rPr>
            </w:pPr>
            <w:r>
              <w:rPr>
                <w:rFonts w:hint="eastAsia" w:ascii="宋体" w:hAnsi="宋体"/>
                <w:b w:val="0"/>
                <w:bCs/>
                <w:sz w:val="21"/>
                <w:szCs w:val="21"/>
                <w:lang w:eastAsia="zh-CN"/>
              </w:rPr>
              <w:t>报审材料</w:t>
            </w:r>
            <w:r>
              <w:rPr>
                <w:rFonts w:hint="eastAsia" w:ascii="宋体" w:hAnsi="宋体"/>
                <w:bCs/>
                <w:color w:val="FF0000"/>
                <w:sz w:val="21"/>
                <w:szCs w:val="21"/>
                <w:lang w:eastAsia="zh-CN"/>
              </w:rPr>
              <w:t>（纸质版和电子版都提供）</w:t>
            </w:r>
          </w:p>
        </w:tc>
        <w:tc>
          <w:tcPr>
            <w:tcW w:w="1119" w:type="dxa"/>
            <w:vAlign w:val="center"/>
          </w:tcPr>
          <w:p>
            <w:pPr>
              <w:widowControl/>
              <w:spacing w:after="0" w:line="400" w:lineRule="exact"/>
              <w:jc w:val="center"/>
              <w:rPr>
                <w:rFonts w:ascii="宋体" w:hAnsi="宋体"/>
                <w:bCs/>
                <w:sz w:val="21"/>
                <w:szCs w:val="21"/>
                <w:lang w:eastAsia="zh-CN"/>
              </w:rPr>
            </w:pPr>
          </w:p>
          <w:p>
            <w:pPr>
              <w:widowControl w:val="0"/>
              <w:spacing w:after="0"/>
              <w:jc w:val="center"/>
              <w:rPr>
                <w:rFonts w:ascii="宋体" w:hAnsi="宋体"/>
                <w:sz w:val="21"/>
                <w:szCs w:val="21"/>
                <w:lang w:eastAsia="zh-CN"/>
              </w:rPr>
            </w:pPr>
            <w:r>
              <w:rPr>
                <w:rFonts w:hint="eastAsia" w:ascii="宋体" w:hAnsi="宋体"/>
                <w:bCs/>
                <w:sz w:val="21"/>
                <w:szCs w:val="21"/>
                <w:lang w:eastAsia="zh-CN"/>
              </w:rPr>
              <w:t>勘察阶段（仅涉及特别保护区勘察作业须提供）</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①《温州市轨道交通保护区建设项目勘察作业审查申请表》；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②项目立项文件（复印件）；</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③勘察计划与方案；</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④勘察孔与轨道交通平、剖面位置关系图（图上附表注明勘察孔坐标、与轨道交通结构的关系）；</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⑤《安全保障承诺书》（勘察单位承诺）；</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⑥作业单位的资质证明文件；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设计阶段</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①《温州市轨道交通保护区建设项目设计方案审查申请表》；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②选址意见书或立项文件或项目规划许可证（复印件）；</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③总平面图（1：500地形图上标出与轨道交通的位置关系）；</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④设计图纸资料（仅提供与轨道交通有关的内容，如桩基图、基坑支护设计图等）；</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⑤工程实施对轨道交通设施及运营影响安全评估报告；</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⑥安全评估意见回复单。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施工准备阶段</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①《温州市轨道交通保护区建设项目专项施工方案审查申请表》；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②轨道交通安全保护专项施工方案（经设计、评估、施工、监理、建设单位审核通过）；</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③工程施工期间轨道交通安全保护监测实施方案。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281" w:type="dxa"/>
            <w:vMerge w:val="continue"/>
            <w:vAlign w:val="center"/>
          </w:tcPr>
          <w:p>
            <w:pPr>
              <w:widowControl w:val="0"/>
              <w:jc w:val="both"/>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正式实施阶段</w:t>
            </w:r>
          </w:p>
        </w:tc>
        <w:tc>
          <w:tcPr>
            <w:tcW w:w="6015" w:type="dxa"/>
            <w:vAlign w:val="center"/>
          </w:tcPr>
          <w:p>
            <w:pPr>
              <w:widowControl w:val="0"/>
              <w:shd w:val="clear" w:color="auto" w:fill="FFFFFF"/>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①《温州市轨道交通保护区建设项目开工申请表》；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②《施工作业安全协议书》或《安全保障承诺书》；</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③轨道交通设施保护监测初始值报告；</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④轨道交通保护区建设项目审查意见单（施工图设计、专项施工方案）。</w:t>
            </w:r>
          </w:p>
        </w:tc>
      </w:tr>
    </w:tbl>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b/>
          <w:sz w:val="21"/>
          <w:szCs w:val="21"/>
          <w:lang w:eastAsia="zh-CN"/>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b/>
          <w:sz w:val="21"/>
          <w:szCs w:val="21"/>
          <w:lang w:eastAsia="zh-CN"/>
        </w:rPr>
      </w:pPr>
      <w:r>
        <w:rPr>
          <w:rFonts w:hint="eastAsia" w:ascii="宋体" w:hAnsi="宋体"/>
          <w:b/>
          <w:sz w:val="21"/>
          <w:szCs w:val="21"/>
          <w:lang w:eastAsia="zh-CN"/>
        </w:rPr>
        <w:t>四、注意事项</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bookmarkStart w:id="4" w:name="OLE_LINK9"/>
      <w:bookmarkStart w:id="5" w:name="OLE_LINK5"/>
      <w:r>
        <w:rPr>
          <w:rFonts w:hint="eastAsia" w:ascii="宋体" w:hAnsi="宋体"/>
          <w:sz w:val="21"/>
          <w:szCs w:val="21"/>
          <w:lang w:eastAsia="zh-CN"/>
        </w:rPr>
        <w:t>1、</w:t>
      </w:r>
      <w:r>
        <w:rPr>
          <w:rFonts w:hint="eastAsia" w:ascii="宋体" w:hAnsi="宋体"/>
          <w:b/>
          <w:bCs/>
          <w:color w:val="FF0000"/>
          <w:sz w:val="21"/>
          <w:szCs w:val="21"/>
          <w:lang w:eastAsia="zh-CN"/>
        </w:rPr>
        <w:t>安全评估：</w:t>
      </w:r>
      <w:r>
        <w:rPr>
          <w:rFonts w:hint="eastAsia" w:ascii="宋体" w:hAnsi="宋体"/>
          <w:sz w:val="21"/>
          <w:szCs w:val="21"/>
          <w:lang w:eastAsia="zh-CN"/>
        </w:rPr>
        <w:t>轨道交通结构安全影响等级为特级和一级的外部作业项目，申请人应在</w:t>
      </w:r>
      <w:r>
        <w:rPr>
          <w:rFonts w:hint="eastAsia" w:ascii="宋体" w:hAnsi="宋体"/>
          <w:b/>
          <w:bCs/>
          <w:sz w:val="21"/>
          <w:szCs w:val="21"/>
          <w:lang w:eastAsia="zh-CN"/>
        </w:rPr>
        <w:t>设计阶段</w:t>
      </w:r>
      <w:r>
        <w:rPr>
          <w:rFonts w:hint="eastAsia" w:ascii="宋体" w:hAnsi="宋体"/>
          <w:sz w:val="21"/>
          <w:szCs w:val="21"/>
          <w:lang w:eastAsia="zh-CN"/>
        </w:rPr>
        <w:t>开展外部作业实施对轨道交通影响的安全预评估，费用由申请人承担。评估单位须从市铁投集团公示的《温州市轨道交通保护咨询（评估）单位名录》中选择。</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hint="eastAsia" w:ascii="宋体" w:hAnsi="宋体"/>
          <w:sz w:val="21"/>
          <w:szCs w:val="21"/>
          <w:lang w:eastAsia="zh-CN"/>
        </w:rPr>
        <w:t>2、</w:t>
      </w:r>
      <w:r>
        <w:rPr>
          <w:rFonts w:hint="eastAsia" w:ascii="宋体" w:hAnsi="宋体"/>
          <w:b/>
          <w:bCs/>
          <w:color w:val="FF0000"/>
          <w:sz w:val="21"/>
          <w:szCs w:val="21"/>
          <w:lang w:eastAsia="zh-CN"/>
        </w:rPr>
        <w:t>第三方监测：</w:t>
      </w:r>
      <w:r>
        <w:rPr>
          <w:rFonts w:hint="eastAsia" w:ascii="宋体" w:hAnsi="宋体"/>
          <w:sz w:val="21"/>
          <w:szCs w:val="21"/>
          <w:lang w:eastAsia="zh-CN"/>
        </w:rPr>
        <w:t>经审核预估对轨道交通设施会造成较大影响的外部作业项目；申请人应委托监测单位对受影响的轨道交通结构设施进行动态监测，并对轨道保护密切相关部位的基坑施工监测项目进行复核监测，费用由申请人承担。监测单位须从市铁投集团公示的《温州市轨道交通保护第三方监测单位名录》中选择。</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color w:val="575757"/>
          <w:sz w:val="21"/>
          <w:szCs w:val="21"/>
          <w:lang w:eastAsia="zh-CN"/>
        </w:rPr>
      </w:pPr>
      <w:r>
        <w:rPr>
          <w:rFonts w:hint="eastAsia" w:ascii="宋体" w:hAnsi="宋体"/>
          <w:sz w:val="21"/>
          <w:szCs w:val="21"/>
          <w:lang w:eastAsia="zh-CN"/>
        </w:rPr>
        <w:t>3、在取得</w:t>
      </w:r>
      <w:r>
        <w:rPr>
          <w:rFonts w:hint="eastAsia" w:ascii="宋体" w:hAnsi="宋体"/>
          <w:b/>
          <w:bCs/>
          <w:sz w:val="21"/>
          <w:szCs w:val="21"/>
          <w:lang w:eastAsia="zh-CN"/>
        </w:rPr>
        <w:t>市铁投集团开工申请同意意见</w:t>
      </w:r>
      <w:r>
        <w:rPr>
          <w:rFonts w:hint="eastAsia" w:ascii="宋体" w:hAnsi="宋体"/>
          <w:sz w:val="21"/>
          <w:szCs w:val="21"/>
          <w:lang w:eastAsia="zh-CN"/>
        </w:rPr>
        <w:t>前，不得在轨道交通保护区范围内开展任何工程作业活动。（包括不限于桩基及基坑支护工程，土方工程，大型机械吊装，临时建筑物搭建等）</w:t>
      </w:r>
    </w:p>
    <w:bookmarkEnd w:id="4"/>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4</w:t>
      </w:r>
      <w:r>
        <w:rPr>
          <w:rFonts w:hint="eastAsia" w:ascii="宋体" w:hAnsi="宋体"/>
          <w:sz w:val="21"/>
          <w:szCs w:val="21"/>
          <w:lang w:eastAsia="zh-CN"/>
        </w:rPr>
        <w:t>、若施工作业对轨道交通造成较大结构偏移或其他损伤的，建设单位应根据市铁投集团要求委托专业机构对轨道交通结构安全状况进行施工过程评估或工后评估，并承担相应评估和结构修复费用。</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5</w:t>
      </w:r>
      <w:r>
        <w:rPr>
          <w:rFonts w:hint="eastAsia" w:ascii="宋体" w:hAnsi="宋体"/>
          <w:sz w:val="21"/>
          <w:szCs w:val="21"/>
          <w:lang w:eastAsia="zh-CN"/>
        </w:rPr>
        <w:t>、若施工项目未办理轨道保护手续，市铁投集团将上报市行政执法部门按照《温州市城市轨道交通管理办法》的相关规定进行处理，作业单位承担违规施工引起的相关法律责任。</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6</w:t>
      </w:r>
      <w:r>
        <w:rPr>
          <w:rFonts w:hint="eastAsia" w:ascii="宋体" w:hAnsi="宋体"/>
          <w:color w:val="575757"/>
          <w:sz w:val="21"/>
          <w:szCs w:val="21"/>
          <w:lang w:eastAsia="zh-CN"/>
        </w:rPr>
        <w:t>、</w:t>
      </w:r>
      <w:r>
        <w:rPr>
          <w:rFonts w:hint="eastAsia" w:ascii="宋体" w:hAnsi="宋体"/>
          <w:sz w:val="21"/>
          <w:szCs w:val="21"/>
          <w:lang w:eastAsia="zh-CN"/>
        </w:rPr>
        <w:t>根据《温州市城市轨道交通管理办法（试行）》相关规定，项目建设单位应接受市铁投集团监测监控，并承担安全评估、专家论证、轨道交通设施第三方监测、施工安全保证金、施工配合费等相关费用。</w:t>
      </w:r>
      <w:bookmarkEnd w:id="5"/>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7</w:t>
      </w:r>
      <w:r>
        <w:rPr>
          <w:rFonts w:hint="eastAsia" w:ascii="宋体" w:hAnsi="宋体"/>
          <w:sz w:val="21"/>
          <w:szCs w:val="21"/>
          <w:lang w:eastAsia="zh-CN"/>
        </w:rPr>
        <w:t>、</w:t>
      </w:r>
      <w:r>
        <w:rPr>
          <w:rFonts w:hint="eastAsia" w:ascii="宋体" w:hAnsi="宋体"/>
          <w:b/>
          <w:bCs/>
          <w:sz w:val="21"/>
          <w:szCs w:val="21"/>
          <w:lang w:eastAsia="zh-CN"/>
        </w:rPr>
        <w:t>特别申明</w:t>
      </w:r>
      <w:r>
        <w:rPr>
          <w:rFonts w:hint="eastAsia" w:ascii="宋体" w:hAnsi="宋体"/>
          <w:sz w:val="21"/>
          <w:szCs w:val="21"/>
          <w:lang w:eastAsia="zh-CN"/>
        </w:rPr>
        <w:t>：市铁投集团对保护区建设单位提交的设计方案、施工方案、监测方案的技术审核，不减免建设单位及其委托的各技术责任单位的法律责任；项目正式实施前，须取得行政部门的工程建设许可。</w:t>
      </w:r>
      <w:r>
        <w:rPr>
          <w:rFonts w:ascii="宋体" w:hAnsi="宋体"/>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ascii="宋体" w:hAnsi="宋体"/>
          <w:b/>
          <w:sz w:val="21"/>
          <w:szCs w:val="21"/>
          <w:lang w:eastAsia="zh-CN"/>
        </w:rPr>
        <w:br w:type="textWrapping" w:clear="all"/>
      </w:r>
      <w:bookmarkEnd w:id="2"/>
      <w:r>
        <w:rPr>
          <w:rFonts w:hint="eastAsia" w:ascii="宋体" w:hAnsi="宋体"/>
          <w:sz w:val="21"/>
          <w:szCs w:val="21"/>
          <w:lang w:eastAsia="zh-CN"/>
        </w:rPr>
        <w:t>附件：</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1、《温州市轨道交通保护区工程勘察作业审查申请表》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2、《温州市轨道交通保护区建设项目设计方案审查申请表》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3、《温州市轨道交通保护区建设项目专项施工方案审查申请表》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4、《温州市轨道交通保护区简易工程审查表》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5、《温州市轨道交通保护区建设项目开工申请表》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6、《安全保障承诺书》</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7、《温州市轨道交通保护区施工作业安全协议书》</w:t>
      </w:r>
    </w:p>
    <w:p>
      <w:pPr>
        <w:spacing w:after="0" w:line="400" w:lineRule="exact"/>
        <w:rPr>
          <w:rFonts w:ascii="宋体" w:hAnsi="宋体"/>
          <w:sz w:val="21"/>
          <w:szCs w:val="21"/>
          <w:lang w:eastAsia="zh-CN"/>
        </w:rPr>
      </w:pPr>
    </w:p>
    <w:p>
      <w:pPr>
        <w:spacing w:after="0" w:line="400" w:lineRule="exact"/>
        <w:rPr>
          <w:rFonts w:ascii="宋体" w:hAnsi="宋体"/>
          <w:sz w:val="21"/>
          <w:szCs w:val="21"/>
          <w:lang w:eastAsia="zh-CN"/>
        </w:rPr>
      </w:pPr>
    </w:p>
    <w:p>
      <w:pPr>
        <w:spacing w:after="0" w:line="240" w:lineRule="auto"/>
        <w:rPr>
          <w:rFonts w:ascii="文星简小标宋" w:hAnsi="黑体" w:eastAsia="文星简小标宋" w:cs="Times New Roman"/>
          <w:color w:val="000000"/>
          <w:kern w:val="2"/>
          <w:sz w:val="32"/>
          <w:szCs w:val="32"/>
          <w:lang w:eastAsia="zh-CN" w:bidi="ar-SA"/>
        </w:rPr>
      </w:pPr>
      <w:bookmarkStart w:id="6" w:name="_Toc21591_WPSOffice_Level1"/>
      <w:bookmarkStart w:id="7" w:name="_Toc29300_WPSOffice_Level1"/>
      <w:r>
        <w:rPr>
          <w:rFonts w:ascii="文星简小标宋" w:hAnsi="黑体" w:eastAsia="文星简小标宋" w:cs="Times New Roman"/>
          <w:color w:val="000000"/>
          <w:kern w:val="2"/>
          <w:sz w:val="32"/>
          <w:szCs w:val="32"/>
          <w:lang w:eastAsia="zh-CN" w:bidi="ar-SA"/>
        </w:rPr>
        <w:br w:type="page"/>
      </w:r>
    </w:p>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t>温州市轨道交通保护区建设项目勘察作业审查申请表</w:t>
      </w:r>
      <w:bookmarkEnd w:id="6"/>
      <w:bookmarkEnd w:id="7"/>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r>
        <w:rPr>
          <w:rFonts w:ascii="仿宋_GB2312" w:hAnsi="Times New Roman" w:eastAsia="仿宋_GB2312" w:cs="Times New Roman"/>
          <w:kern w:val="2"/>
          <w:szCs w:val="21"/>
          <w:lang w:eastAsia="zh-CN" w:bidi="ar-SA"/>
        </w:rPr>
        <w:t xml:space="preserve"> </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72"/>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264"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勘察</w:t>
            </w:r>
            <w:r>
              <w:rPr>
                <w:rFonts w:ascii="宋体" w:hAnsi="宋体" w:eastAsia="仿宋_GB2312" w:cs="Times New Roman"/>
                <w:bCs/>
                <w:kern w:val="2"/>
                <w:sz w:val="21"/>
                <w:szCs w:val="21"/>
                <w:lang w:eastAsia="zh-CN" w:bidi="ar-SA"/>
              </w:rPr>
              <w:t>单位</w:t>
            </w:r>
            <w:r>
              <w:rPr>
                <w:rFonts w:hint="eastAsia" w:ascii="宋体" w:hAnsi="宋体" w:eastAsia="仿宋_GB2312" w:cs="Times New Roman"/>
                <w:bCs/>
                <w:kern w:val="2"/>
                <w:sz w:val="21"/>
                <w:szCs w:val="21"/>
                <w:lang w:eastAsia="zh-CN" w:bidi="ar-SA"/>
              </w:rPr>
              <w:t>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勘察单位项目负责人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264"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264" w:type="dxa"/>
            <w:gridSpan w:val="3"/>
            <w:vAlign w:val="center"/>
          </w:tcPr>
          <w:p>
            <w:pPr>
              <w:widowControl w:val="0"/>
              <w:spacing w:after="0" w:line="300" w:lineRule="exact"/>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□1. 项目立项文件（复印件）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2</w:t>
            </w:r>
            <w:r>
              <w:rPr>
                <w:rFonts w:hint="eastAsia" w:ascii="仿宋_GB2312" w:hAnsi="宋体" w:eastAsia="仿宋_GB2312" w:cs="Times New Roman"/>
                <w:sz w:val="21"/>
                <w:szCs w:val="21"/>
                <w:lang w:eastAsia="zh-CN" w:bidi="ar-SA"/>
              </w:rPr>
              <w:t>. 勘察计划与方案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□3. 勘察孔与轨道交通平、剖面位置关系图（图上附表注明勘察孔坐标、与轨道交通结构的距离关系）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4</w:t>
            </w:r>
            <w:r>
              <w:rPr>
                <w:rFonts w:hint="eastAsia" w:ascii="仿宋_GB2312" w:hAnsi="宋体" w:eastAsia="仿宋_GB2312" w:cs="Times New Roman"/>
                <w:sz w:val="21"/>
                <w:szCs w:val="21"/>
                <w:lang w:eastAsia="zh-CN" w:bidi="ar-SA"/>
              </w:rPr>
              <w:t>. 《安全保障承诺书》（勘察</w:t>
            </w:r>
            <w:r>
              <w:rPr>
                <w:rFonts w:ascii="仿宋_GB2312" w:hAnsi="宋体" w:eastAsia="仿宋_GB2312" w:cs="Times New Roman"/>
                <w:sz w:val="21"/>
                <w:szCs w:val="21"/>
                <w:lang w:eastAsia="zh-CN" w:bidi="ar-SA"/>
              </w:rPr>
              <w:t>单位</w:t>
            </w:r>
            <w:r>
              <w:rPr>
                <w:rFonts w:hint="eastAsia" w:ascii="仿宋_GB2312" w:hAnsi="宋体" w:eastAsia="仿宋_GB2312" w:cs="Times New Roman"/>
                <w:sz w:val="21"/>
                <w:szCs w:val="21"/>
                <w:lang w:eastAsia="zh-CN" w:bidi="ar-SA"/>
              </w:rPr>
              <w:t>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5</w:t>
            </w:r>
            <w:r>
              <w:rPr>
                <w:rFonts w:hint="eastAsia" w:ascii="仿宋_GB2312" w:hAnsi="宋体" w:eastAsia="仿宋_GB2312" w:cs="Times New Roman"/>
                <w:sz w:val="21"/>
                <w:szCs w:val="21"/>
                <w:lang w:eastAsia="zh-CN" w:bidi="ar-SA"/>
              </w:rPr>
              <w:t>. 作业单位的资质证明文件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6</w:t>
            </w:r>
            <w:r>
              <w:rPr>
                <w:rFonts w:hint="eastAsia" w:ascii="仿宋_GB2312" w:hAnsi="宋体" w:eastAsia="仿宋_GB2312" w:cs="Times New Roman"/>
                <w:sz w:val="21"/>
                <w:szCs w:val="21"/>
                <w:lang w:eastAsia="zh-CN" w:bidi="ar-SA"/>
              </w:rPr>
              <w:t>. 其他</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8" w:name="_Toc13891_WPSOffice_Level1"/>
      <w:r>
        <w:rPr>
          <w:rFonts w:hint="eastAsia" w:ascii="文星简小标宋" w:hAnsi="黑体" w:eastAsia="文星简小标宋" w:cs="Times New Roman"/>
          <w:color w:val="000000"/>
          <w:kern w:val="2"/>
          <w:sz w:val="32"/>
          <w:szCs w:val="32"/>
          <w:lang w:eastAsia="zh-CN" w:bidi="ar-SA"/>
        </w:rPr>
        <w:t>温州市轨道交通保护区建设项目设计方案审查申请表</w:t>
      </w:r>
      <w:bookmarkEnd w:id="8"/>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r>
        <w:rPr>
          <w:rFonts w:hint="eastAsia" w:ascii="仿宋_GB2312" w:hAnsi="宋体" w:eastAsia="仿宋_GB2312" w:cs="Times New Roman"/>
          <w:kern w:val="2"/>
          <w:sz w:val="21"/>
          <w:szCs w:val="21"/>
          <w:lang w:eastAsia="zh-CN" w:bidi="ar-SA"/>
        </w:rPr>
        <w:t xml:space="preserve"> </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828"/>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420"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828"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828"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设计单位名称</w:t>
            </w:r>
          </w:p>
        </w:tc>
        <w:tc>
          <w:tcPr>
            <w:tcW w:w="3828"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设计单位项目负责人</w:t>
            </w:r>
          </w:p>
        </w:tc>
        <w:tc>
          <w:tcPr>
            <w:tcW w:w="3828"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420"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审查事项</w:t>
            </w:r>
          </w:p>
        </w:tc>
        <w:tc>
          <w:tcPr>
            <w:tcW w:w="6420"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sym w:font="Wingdings 2" w:char="00A3"/>
            </w:r>
            <w:r>
              <w:rPr>
                <w:rFonts w:ascii="仿宋_GB2312" w:hAnsi="宋体" w:eastAsia="仿宋_GB2312" w:cs="Times New Roman"/>
                <w:kern w:val="2"/>
                <w:sz w:val="21"/>
                <w:szCs w:val="21"/>
                <w:lang w:eastAsia="zh-CN" w:bidi="ar-SA"/>
              </w:rPr>
              <w:t>规划方案</w:t>
            </w:r>
            <w:r>
              <w:rPr>
                <w:rFonts w:hint="eastAsia" w:ascii="仿宋_GB2312" w:hAnsi="宋体" w:eastAsia="仿宋_GB2312" w:cs="Times New Roman"/>
                <w:kern w:val="2"/>
                <w:sz w:val="21"/>
                <w:szCs w:val="21"/>
                <w:lang w:eastAsia="zh-CN" w:bidi="ar-SA"/>
              </w:rPr>
              <w:t xml:space="preserve">设计(初步设计)  </w:t>
            </w:r>
            <w:r>
              <w:rPr>
                <w:rFonts w:ascii="仿宋_GB2312" w:hAnsi="宋体" w:eastAsia="仿宋_GB2312" w:cs="Times New Roman"/>
                <w:kern w:val="2"/>
                <w:sz w:val="21"/>
                <w:szCs w:val="21"/>
                <w:lang w:eastAsia="zh-CN" w:bidi="ar-SA"/>
              </w:rPr>
              <w:t xml:space="preserve">  </w:t>
            </w:r>
            <w:r>
              <w:rPr>
                <w:rFonts w:hint="eastAsia" w:ascii="仿宋_GB2312" w:hAnsi="宋体" w:eastAsia="仿宋_GB2312" w:cs="Times New Roman"/>
                <w:kern w:val="2"/>
                <w:sz w:val="21"/>
                <w:szCs w:val="21"/>
                <w:lang w:eastAsia="zh-CN" w:bidi="ar-SA"/>
              </w:rPr>
              <w:t xml:space="preserve"> </w:t>
            </w:r>
            <w:r>
              <w:rPr>
                <w:rFonts w:ascii="仿宋_GB2312" w:hAnsi="宋体" w:eastAsia="仿宋_GB2312" w:cs="Times New Roman"/>
                <w:kern w:val="2"/>
                <w:sz w:val="21"/>
                <w:szCs w:val="21"/>
                <w:lang w:eastAsia="zh-CN" w:bidi="ar-SA"/>
              </w:rPr>
              <w:t xml:space="preserve">   </w:t>
            </w:r>
            <w:r>
              <w:rPr>
                <w:rFonts w:hint="eastAsia" w:ascii="仿宋_GB2312" w:hAnsi="宋体" w:eastAsia="仿宋_GB2312" w:cs="Times New Roman"/>
                <w:kern w:val="2"/>
                <w:sz w:val="21"/>
                <w:szCs w:val="21"/>
                <w:lang w:eastAsia="zh-CN" w:bidi="ar-SA"/>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420" w:type="dxa"/>
            <w:gridSpan w:val="3"/>
            <w:vAlign w:val="center"/>
          </w:tcPr>
          <w:p>
            <w:pPr>
              <w:widowControl w:val="0"/>
              <w:spacing w:after="0" w:line="300" w:lineRule="exact"/>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420"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项目概况（主要施工内容、规模及与轨道交通结构空间关系）</w:t>
            </w:r>
          </w:p>
        </w:tc>
        <w:tc>
          <w:tcPr>
            <w:tcW w:w="6420"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□1.选址意见书或</w:t>
            </w:r>
            <w:r>
              <w:rPr>
                <w:rFonts w:ascii="仿宋_GB2312" w:hAnsi="宋体" w:eastAsia="仿宋_GB2312" w:cs="Times New Roman"/>
                <w:sz w:val="21"/>
                <w:szCs w:val="21"/>
                <w:lang w:eastAsia="zh-CN" w:bidi="ar-SA"/>
              </w:rPr>
              <w:t>立项文件</w:t>
            </w:r>
            <w:r>
              <w:rPr>
                <w:rFonts w:hint="eastAsia" w:ascii="仿宋_GB2312" w:hAnsi="宋体" w:eastAsia="仿宋_GB2312" w:cs="Times New Roman"/>
                <w:sz w:val="21"/>
                <w:szCs w:val="21"/>
                <w:lang w:eastAsia="zh-CN" w:bidi="ar-SA"/>
              </w:rPr>
              <w:t>（复印件）（</w:t>
            </w:r>
            <w:r>
              <w:rPr>
                <w:rFonts w:ascii="仿宋_GB2312" w:hAnsi="宋体" w:eastAsia="仿宋_GB2312" w:cs="Times New Roman"/>
                <w:kern w:val="2"/>
                <w:sz w:val="21"/>
                <w:szCs w:val="21"/>
                <w:lang w:eastAsia="zh-CN" w:bidi="ar-SA"/>
              </w:rPr>
              <w:t>规划方案</w:t>
            </w:r>
            <w:r>
              <w:rPr>
                <w:rFonts w:hint="eastAsia" w:ascii="仿宋_GB2312" w:hAnsi="宋体" w:eastAsia="仿宋_GB2312" w:cs="Times New Roman"/>
                <w:kern w:val="2"/>
                <w:sz w:val="21"/>
                <w:szCs w:val="21"/>
                <w:lang w:eastAsia="zh-CN" w:bidi="ar-SA"/>
              </w:rPr>
              <w:t>设计阶段提供</w:t>
            </w:r>
            <w:r>
              <w:rPr>
                <w:rFonts w:hint="eastAsia" w:ascii="仿宋_GB2312" w:hAnsi="宋体" w:eastAsia="仿宋_GB2312" w:cs="Times New Roman"/>
                <w:sz w:val="21"/>
                <w:szCs w:val="21"/>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2</w:t>
            </w:r>
            <w:r>
              <w:rPr>
                <w:rFonts w:hint="eastAsia" w:ascii="仿宋_GB2312" w:hAnsi="宋体" w:eastAsia="仿宋_GB2312" w:cs="Times New Roman"/>
                <w:sz w:val="21"/>
                <w:szCs w:val="21"/>
                <w:lang w:eastAsia="zh-CN" w:bidi="ar-SA"/>
              </w:rPr>
              <w:t>.项目规划许可证（复印件）（施工图</w:t>
            </w:r>
            <w:r>
              <w:rPr>
                <w:rFonts w:ascii="仿宋_GB2312" w:hAnsi="宋体" w:eastAsia="仿宋_GB2312" w:cs="Times New Roman"/>
                <w:sz w:val="21"/>
                <w:szCs w:val="21"/>
                <w:lang w:eastAsia="zh-CN" w:bidi="ar-SA"/>
              </w:rPr>
              <w:t>设计阶段提供</w:t>
            </w:r>
            <w:r>
              <w:rPr>
                <w:rFonts w:hint="eastAsia" w:ascii="仿宋_GB2312" w:hAnsi="宋体" w:eastAsia="仿宋_GB2312" w:cs="Times New Roman"/>
                <w:sz w:val="21"/>
                <w:szCs w:val="21"/>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3</w:t>
            </w:r>
            <w:r>
              <w:rPr>
                <w:rFonts w:hint="eastAsia" w:ascii="仿宋_GB2312" w:hAnsi="宋体" w:eastAsia="仿宋_GB2312" w:cs="Times New Roman"/>
                <w:sz w:val="21"/>
                <w:szCs w:val="21"/>
                <w:lang w:eastAsia="zh-CN" w:bidi="ar-SA"/>
              </w:rPr>
              <w:t xml:space="preserve">.总平面图（1：500地形图上标出与轨道交通的位置关系）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4</w:t>
            </w:r>
            <w:r>
              <w:rPr>
                <w:rFonts w:hint="eastAsia" w:ascii="仿宋_GB2312" w:hAnsi="宋体" w:eastAsia="仿宋_GB2312" w:cs="Times New Roman"/>
                <w:sz w:val="21"/>
                <w:szCs w:val="21"/>
                <w:lang w:eastAsia="zh-CN" w:bidi="ar-SA"/>
              </w:rPr>
              <w:t>.设计图纸</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（仅提供与轨道交通有关的内容）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5</w:t>
            </w:r>
            <w:r>
              <w:rPr>
                <w:rFonts w:hint="eastAsia" w:ascii="仿宋_GB2312" w:hAnsi="宋体" w:eastAsia="仿宋_GB2312" w:cs="Times New Roman"/>
                <w:sz w:val="21"/>
                <w:szCs w:val="21"/>
                <w:lang w:eastAsia="zh-CN" w:bidi="ar-SA"/>
              </w:rPr>
              <w:t>.工程实施对轨道交通设施及运营影响安全评估报告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6</w:t>
            </w:r>
            <w:r>
              <w:rPr>
                <w:rFonts w:hint="eastAsia" w:ascii="仿宋_GB2312" w:hAnsi="宋体" w:eastAsia="仿宋_GB2312" w:cs="Times New Roman"/>
                <w:sz w:val="21"/>
                <w:szCs w:val="21"/>
                <w:lang w:eastAsia="zh-CN" w:bidi="ar-SA"/>
              </w:rPr>
              <w:t>.安全评估意见回复单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7</w:t>
            </w:r>
            <w:r>
              <w:rPr>
                <w:rFonts w:hint="eastAsia" w:ascii="仿宋_GB2312" w:hAnsi="宋体" w:eastAsia="仿宋_GB2312" w:cs="Times New Roman"/>
                <w:sz w:val="21"/>
                <w:szCs w:val="21"/>
                <w:lang w:eastAsia="zh-CN" w:bidi="ar-SA"/>
              </w:rPr>
              <w:t>.温州市规定的基坑设计专家论证意见（仅深基坑</w:t>
            </w:r>
            <w:r>
              <w:rPr>
                <w:rFonts w:ascii="仿宋_GB2312" w:hAnsi="宋体" w:eastAsia="仿宋_GB2312" w:cs="Times New Roman"/>
                <w:sz w:val="21"/>
                <w:szCs w:val="21"/>
                <w:lang w:eastAsia="zh-CN" w:bidi="ar-SA"/>
              </w:rPr>
              <w:t>项目</w:t>
            </w: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sym w:font="Wingdings 2" w:char="00A3"/>
            </w:r>
            <w:r>
              <w:rPr>
                <w:rFonts w:ascii="仿宋_GB2312" w:hAnsi="宋体" w:eastAsia="仿宋_GB2312" w:cs="Times New Roman"/>
                <w:sz w:val="21"/>
                <w:szCs w:val="21"/>
                <w:lang w:eastAsia="zh-CN" w:bidi="ar-SA"/>
              </w:rPr>
              <w:t>8</w:t>
            </w: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 xml:space="preserve"> </w:t>
            </w:r>
            <w:r>
              <w:rPr>
                <w:rFonts w:hint="eastAsia" w:ascii="仿宋_GB2312" w:hAnsi="宋体" w:eastAsia="仿宋_GB2312" w:cs="Times New Roman"/>
                <w:sz w:val="21"/>
                <w:szCs w:val="21"/>
                <w:lang w:eastAsia="zh-CN" w:bidi="ar-SA"/>
              </w:rPr>
              <w:t>其他</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9" w:name="_Toc13906_WPSOffice_Level1"/>
      <w:bookmarkStart w:id="10" w:name="_Toc6246_WPSOffice_Level1"/>
      <w:bookmarkStart w:id="11" w:name="_Toc14237_WPSOffice_Level1"/>
      <w:bookmarkStart w:id="12" w:name="_Toc6341_WPSOffice_Level1"/>
      <w:bookmarkStart w:id="13" w:name="_Toc25951_WPSOffice_Level1"/>
      <w:r>
        <w:rPr>
          <w:rFonts w:hint="eastAsia" w:ascii="文星简小标宋" w:hAnsi="黑体" w:eastAsia="文星简小标宋" w:cs="Times New Roman"/>
          <w:color w:val="000000"/>
          <w:kern w:val="2"/>
          <w:sz w:val="32"/>
          <w:szCs w:val="32"/>
          <w:lang w:eastAsia="zh-CN" w:bidi="ar-SA"/>
        </w:rPr>
        <w:t>温州市轨道交通保护区建设项目专项施工方案审查申请表</w:t>
      </w:r>
      <w:bookmarkEnd w:id="9"/>
      <w:bookmarkEnd w:id="10"/>
      <w:bookmarkEnd w:id="11"/>
      <w:bookmarkEnd w:id="12"/>
      <w:bookmarkEnd w:id="13"/>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72"/>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264"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施工单位项目负责人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施工单位技术负责人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监理单位名称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项目总监理工程师</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264"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264" w:type="dxa"/>
            <w:gridSpan w:val="3"/>
            <w:vAlign w:val="center"/>
          </w:tcPr>
          <w:p>
            <w:pPr>
              <w:widowControl w:val="0"/>
              <w:spacing w:after="0" w:line="300" w:lineRule="exact"/>
              <w:jc w:val="both"/>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项目概况（主要施工内容、规模及与轨道交通结构空间关系）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 w:cs="Times New Roman"/>
                <w:sz w:val="21"/>
                <w:szCs w:val="21"/>
                <w:lang w:eastAsia="zh-CN" w:bidi="ar-SA"/>
              </w:rPr>
            </w:pPr>
            <w:r>
              <w:rPr>
                <w:rFonts w:hint="eastAsia" w:ascii="仿宋_GB2312" w:hAnsi="宋体" w:eastAsia="仿宋_GB2312" w:cs="Times New Roman"/>
                <w:sz w:val="21"/>
                <w:szCs w:val="21"/>
                <w:lang w:eastAsia="zh-CN" w:bidi="ar-SA"/>
              </w:rPr>
              <w:t>□1.</w:t>
            </w:r>
            <w:r>
              <w:rPr>
                <w:rFonts w:ascii="仿宋" w:hAnsi="仿宋" w:eastAsia="仿宋" w:cs="Times New Roman"/>
                <w:kern w:val="2"/>
                <w:sz w:val="21"/>
                <w:szCs w:val="24"/>
                <w:lang w:eastAsia="zh-CN" w:bidi="ar-SA"/>
              </w:rPr>
              <w:t>轨道交通</w:t>
            </w:r>
            <w:r>
              <w:rPr>
                <w:rFonts w:hint="eastAsia" w:ascii="仿宋" w:hAnsi="仿宋" w:eastAsia="仿宋" w:cs="Times New Roman"/>
                <w:kern w:val="2"/>
                <w:sz w:val="21"/>
                <w:szCs w:val="24"/>
                <w:lang w:eastAsia="zh-CN" w:bidi="ar-SA"/>
              </w:rPr>
              <w:t>安全</w:t>
            </w:r>
            <w:r>
              <w:rPr>
                <w:rFonts w:ascii="仿宋" w:hAnsi="仿宋" w:eastAsia="仿宋" w:cs="Times New Roman"/>
                <w:kern w:val="2"/>
                <w:sz w:val="21"/>
                <w:szCs w:val="24"/>
                <w:lang w:eastAsia="zh-CN" w:bidi="ar-SA"/>
              </w:rPr>
              <w:t>保护</w:t>
            </w:r>
            <w:r>
              <w:rPr>
                <w:rFonts w:hint="eastAsia" w:ascii="仿宋" w:hAnsi="仿宋" w:eastAsia="仿宋" w:cs="Times New Roman"/>
                <w:kern w:val="2"/>
                <w:sz w:val="21"/>
                <w:szCs w:val="24"/>
                <w:lang w:eastAsia="zh-CN" w:bidi="ar-SA"/>
              </w:rPr>
              <w:t>专项</w:t>
            </w:r>
            <w:r>
              <w:rPr>
                <w:rFonts w:ascii="仿宋" w:hAnsi="仿宋" w:eastAsia="仿宋" w:cs="Times New Roman"/>
                <w:kern w:val="2"/>
                <w:sz w:val="21"/>
                <w:szCs w:val="24"/>
                <w:lang w:eastAsia="zh-CN" w:bidi="ar-SA"/>
              </w:rPr>
              <w:t>施工方案</w:t>
            </w:r>
            <w:r>
              <w:rPr>
                <w:rFonts w:hint="eastAsia" w:ascii="仿宋" w:hAnsi="仿宋" w:eastAsia="仿宋" w:cs="Times New Roman"/>
                <w:kern w:val="2"/>
                <w:sz w:val="21"/>
                <w:szCs w:val="24"/>
                <w:lang w:eastAsia="zh-CN" w:bidi="ar-SA"/>
              </w:rPr>
              <w:t>（</w:t>
            </w:r>
            <w:r>
              <w:rPr>
                <w:rFonts w:hint="eastAsia" w:ascii="仿宋_GB2312" w:hAnsi="宋体" w:eastAsia="仿宋_GB2312" w:cs="Times New Roman"/>
                <w:sz w:val="21"/>
                <w:szCs w:val="21"/>
                <w:lang w:eastAsia="zh-CN" w:bidi="ar-SA"/>
              </w:rPr>
              <w:t>经设计、评估、施工、监理、建设单位审核通过</w:t>
            </w:r>
            <w:r>
              <w:rPr>
                <w:rFonts w:hint="eastAsia" w:ascii="仿宋" w:hAnsi="仿宋" w:eastAsia="仿宋" w:cs="Times New Roman"/>
                <w:kern w:val="2"/>
                <w:sz w:val="21"/>
                <w:szCs w:val="24"/>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 w:cs="Times New Roman"/>
                <w:sz w:val="21"/>
                <w:szCs w:val="21"/>
                <w:lang w:eastAsia="zh-CN" w:bidi="ar-SA"/>
              </w:rPr>
            </w:pPr>
            <w:r>
              <w:rPr>
                <w:rFonts w:hint="eastAsia" w:ascii="仿宋_GB2312" w:hAnsi="宋体" w:eastAsia="仿宋_GB2312" w:cs="Times New Roman"/>
                <w:sz w:val="21"/>
                <w:szCs w:val="21"/>
                <w:lang w:eastAsia="zh-CN" w:bidi="ar-SA"/>
              </w:rPr>
              <w:t>□2.工程施工期间轨道交通安全保护监测实施方案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□3.其他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 xml:space="preserve">□5. </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14" w:name="_Toc7962_WPSOffice_Level1"/>
      <w:bookmarkStart w:id="15" w:name="_Toc24329_WPSOffice_Level1"/>
      <w:bookmarkStart w:id="16" w:name="_Toc11695_WPSOffice_Level1"/>
      <w:bookmarkStart w:id="17" w:name="_Toc27725_WPSOffice_Level1"/>
      <w:bookmarkStart w:id="18" w:name="_Toc5526_WPSOffice_Level1"/>
      <w:r>
        <w:rPr>
          <w:rFonts w:hint="eastAsia" w:ascii="文星简小标宋" w:hAnsi="黑体" w:eastAsia="文星简小标宋" w:cs="Times New Roman"/>
          <w:color w:val="000000"/>
          <w:kern w:val="2"/>
          <w:sz w:val="32"/>
          <w:szCs w:val="32"/>
          <w:lang w:eastAsia="zh-CN" w:bidi="ar-SA"/>
        </w:rPr>
        <w:t>温州市轨道交通保护区简易工程审查表</w:t>
      </w:r>
      <w:bookmarkEnd w:id="14"/>
      <w:bookmarkEnd w:id="15"/>
      <w:bookmarkEnd w:id="16"/>
      <w:bookmarkEnd w:id="17"/>
      <w:bookmarkEnd w:id="18"/>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简易</w:t>
      </w:r>
      <w:r>
        <w:rPr>
          <w:rFonts w:ascii="仿宋_GB2312" w:hAnsi="Times New Roman" w:eastAsia="仿宋_GB2312" w:cs="Times New Roman"/>
          <w:kern w:val="2"/>
          <w:sz w:val="21"/>
          <w:szCs w:val="21"/>
          <w:lang w:eastAsia="zh-CN" w:bidi="ar-SA"/>
        </w:rPr>
        <w:t>工程编号</w:t>
      </w:r>
      <w:r>
        <w:rPr>
          <w:rFonts w:hint="eastAsia" w:ascii="仿宋_GB2312" w:hAnsi="Times New Roman" w:eastAsia="仿宋_GB2312" w:cs="Times New Roman"/>
          <w:kern w:val="2"/>
          <w:sz w:val="21"/>
          <w:szCs w:val="21"/>
          <w:lang w:eastAsia="zh-CN" w:bidi="ar-SA"/>
        </w:rPr>
        <w:t>:</w:t>
      </w:r>
      <w:r>
        <w:rPr>
          <w:rFonts w:ascii="仿宋_GB2312" w:hAnsi="Times New Roman" w:eastAsia="仿宋_GB2312" w:cs="Times New Roman"/>
          <w:kern w:val="2"/>
          <w:sz w:val="21"/>
          <w:szCs w:val="21"/>
          <w:lang w:eastAsia="zh-CN" w:bidi="ar-SA"/>
        </w:rPr>
        <w:t xml:space="preserve"> GDBHJY-</w:t>
      </w:r>
      <w:r>
        <w:rPr>
          <w:rFonts w:hint="eastAsia" w:ascii="仿宋_GB2312" w:hAnsi="Times New Roman" w:eastAsia="仿宋_GB2312" w:cs="Times New Roman"/>
          <w:kern w:val="2"/>
          <w:sz w:val="21"/>
          <w:szCs w:val="21"/>
          <w:lang w:eastAsia="zh-CN" w:bidi="ar-SA"/>
        </w:rPr>
        <w:t>20XX-</w:t>
      </w:r>
      <w:r>
        <w:rPr>
          <w:rFonts w:hint="eastAsia" w:ascii="仿宋_GB2312" w:hAnsi="宋体" w:eastAsia="仿宋_GB2312" w:cs="Times New Roman"/>
          <w:kern w:val="2"/>
          <w:sz w:val="21"/>
          <w:szCs w:val="21"/>
          <w:lang w:eastAsia="zh-CN" w:bidi="ar-SA"/>
        </w:rPr>
        <w:t>XXX</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2694"/>
        <w:gridCol w:w="1134"/>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420" w:type="dxa"/>
            <w:gridSpan w:val="4"/>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828" w:type="dxa"/>
            <w:gridSpan w:val="2"/>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w:t>
            </w:r>
            <w:r>
              <w:rPr>
                <w:rFonts w:hint="eastAsia" w:ascii="宋体" w:hAnsi="宋体" w:eastAsia="仿宋_GB2312" w:cs="Times New Roman"/>
                <w:bCs/>
                <w:kern w:val="2"/>
                <w:sz w:val="21"/>
                <w:szCs w:val="21"/>
                <w:lang w:eastAsia="zh-CN" w:bidi="ar-SA"/>
              </w:rPr>
              <w:t>联系</w:t>
            </w:r>
            <w:r>
              <w:rPr>
                <w:rFonts w:ascii="宋体" w:hAnsi="宋体" w:eastAsia="仿宋_GB2312" w:cs="Times New Roman"/>
                <w:bCs/>
                <w:kern w:val="2"/>
                <w:sz w:val="21"/>
                <w:szCs w:val="21"/>
                <w:lang w:eastAsia="zh-CN" w:bidi="ar-SA"/>
              </w:rPr>
              <w:t>人</w:t>
            </w:r>
          </w:p>
        </w:tc>
        <w:tc>
          <w:tcPr>
            <w:tcW w:w="3828" w:type="dxa"/>
            <w:gridSpan w:val="2"/>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施工单位名称</w:t>
            </w:r>
          </w:p>
        </w:tc>
        <w:tc>
          <w:tcPr>
            <w:tcW w:w="3828" w:type="dxa"/>
            <w:gridSpan w:val="2"/>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施工单位联系人</w:t>
            </w:r>
          </w:p>
        </w:tc>
        <w:tc>
          <w:tcPr>
            <w:tcW w:w="3828" w:type="dxa"/>
            <w:gridSpan w:val="2"/>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420" w:type="dxa"/>
            <w:gridSpan w:val="4"/>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420" w:type="dxa"/>
            <w:gridSpan w:val="4"/>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4"/>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与轨道交通线位不交叉，距轨道交通结构最近水平距离   米</w:t>
            </w:r>
          </w:p>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与轨道交通线位交叉，位于轨道交通结构正上方/正下</w:t>
            </w:r>
            <w:r>
              <w:rPr>
                <w:rFonts w:ascii="宋体" w:hAnsi="宋体" w:eastAsia="仿宋_GB2312" w:cs="Times New Roman"/>
                <w:bCs/>
                <w:kern w:val="2"/>
                <w:sz w:val="21"/>
                <w:szCs w:val="21"/>
                <w:lang w:eastAsia="zh-CN" w:bidi="ar-SA"/>
              </w:rPr>
              <w:t>方</w:t>
            </w:r>
          </w:p>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2" w:hRule="exac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工程概况</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工程范围和施工内容</w:t>
            </w:r>
          </w:p>
        </w:tc>
        <w:tc>
          <w:tcPr>
            <w:tcW w:w="3726"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挖、填深度、面积情况</w:t>
            </w:r>
          </w:p>
        </w:tc>
        <w:tc>
          <w:tcPr>
            <w:tcW w:w="3726"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施工工期</w:t>
            </w:r>
          </w:p>
        </w:tc>
        <w:tc>
          <w:tcPr>
            <w:tcW w:w="3726"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提交资料</w:t>
            </w:r>
          </w:p>
        </w:tc>
        <w:tc>
          <w:tcPr>
            <w:tcW w:w="6420" w:type="dxa"/>
            <w:gridSpan w:val="4"/>
            <w:vAlign w:val="center"/>
          </w:tcPr>
          <w:p>
            <w:pPr>
              <w:widowControl w:val="0"/>
              <w:spacing w:after="0" w:line="320" w:lineRule="exact"/>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设计方案（提供工程范围坐标、图纸中标出工程与轨道交通的位置关系）、施工方案纸质版和电子版资料各一份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3" w:hRule="exact"/>
          <w:jc w:val="center"/>
        </w:trPr>
        <w:tc>
          <w:tcPr>
            <w:tcW w:w="2112" w:type="dxa"/>
            <w:vAlign w:val="center"/>
          </w:tcPr>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市铁投集团</w:t>
            </w:r>
          </w:p>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轨保办</w:t>
            </w:r>
          </w:p>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技术审查意见</w:t>
            </w:r>
          </w:p>
        </w:tc>
        <w:tc>
          <w:tcPr>
            <w:tcW w:w="6420" w:type="dxa"/>
            <w:gridSpan w:val="4"/>
            <w:vAlign w:val="center"/>
          </w:tcPr>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p>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年   月   日</w:t>
            </w:r>
          </w:p>
        </w:tc>
      </w:tr>
    </w:tbl>
    <w:p>
      <w:pPr>
        <w:widowControl w:val="0"/>
        <w:spacing w:after="0" w:line="300" w:lineRule="exact"/>
        <w:ind w:firstLine="210" w:firstLineChars="100"/>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注：</w:t>
      </w:r>
      <w:r>
        <w:rPr>
          <w:rFonts w:hint="eastAsia" w:ascii="仿宋_GB2312" w:hAnsi="Times New Roman" w:eastAsia="仿宋_GB2312" w:cs="Times New Roman"/>
          <w:kern w:val="2"/>
          <w:szCs w:val="21"/>
          <w:lang w:eastAsia="zh-CN" w:bidi="ar-SA"/>
        </w:rPr>
        <w:t>本表完成审查后由温州市</w:t>
      </w:r>
      <w:r>
        <w:rPr>
          <w:rFonts w:ascii="仿宋_GB2312" w:hAnsi="Times New Roman" w:eastAsia="仿宋_GB2312" w:cs="Times New Roman"/>
          <w:kern w:val="2"/>
          <w:szCs w:val="21"/>
          <w:lang w:eastAsia="zh-CN" w:bidi="ar-SA"/>
        </w:rPr>
        <w:t>铁路与轨道交通投资集团</w:t>
      </w:r>
      <w:r>
        <w:rPr>
          <w:rFonts w:hint="eastAsia" w:ascii="仿宋_GB2312" w:hAnsi="Times New Roman" w:eastAsia="仿宋_GB2312" w:cs="Times New Roman"/>
          <w:kern w:val="2"/>
          <w:szCs w:val="21"/>
          <w:lang w:eastAsia="zh-CN" w:bidi="ar-SA"/>
        </w:rPr>
        <w:t>有限</w:t>
      </w:r>
      <w:r>
        <w:rPr>
          <w:rFonts w:ascii="仿宋_GB2312" w:hAnsi="Times New Roman" w:eastAsia="仿宋_GB2312" w:cs="Times New Roman"/>
          <w:kern w:val="2"/>
          <w:szCs w:val="21"/>
          <w:lang w:eastAsia="zh-CN" w:bidi="ar-SA"/>
        </w:rPr>
        <w:t>公司</w:t>
      </w:r>
      <w:r>
        <w:rPr>
          <w:rFonts w:hint="eastAsia" w:ascii="仿宋_GB2312" w:hAnsi="Times New Roman" w:eastAsia="仿宋_GB2312" w:cs="Times New Roman"/>
          <w:kern w:val="2"/>
          <w:szCs w:val="21"/>
          <w:lang w:eastAsia="zh-CN" w:bidi="ar-SA"/>
        </w:rPr>
        <w:t>存档</w:t>
      </w:r>
      <w:r>
        <w:rPr>
          <w:rFonts w:hint="eastAsia" w:ascii="仿宋_GB2312" w:hAnsi="Times New Roman" w:eastAsia="仿宋_GB2312" w:cs="Times New Roman"/>
          <w:kern w:val="2"/>
          <w:sz w:val="21"/>
          <w:szCs w:val="21"/>
          <w:lang w:eastAsia="zh-CN" w:bidi="ar-SA"/>
        </w:rPr>
        <w:t>。  （表正面）</w:t>
      </w:r>
    </w:p>
    <w:p>
      <w:pPr>
        <w:widowControl w:val="0"/>
        <w:spacing w:after="0" w:line="300" w:lineRule="exact"/>
        <w:rPr>
          <w:rFonts w:ascii="仿宋_GB2312" w:hAnsi="宋体" w:eastAsia="仿宋_GB2312" w:cs="Times New Roman"/>
          <w:kern w:val="2"/>
          <w:sz w:val="21"/>
          <w:szCs w:val="21"/>
          <w:lang w:eastAsia="zh-CN" w:bidi="ar-SA"/>
        </w:rPr>
      </w:pPr>
    </w:p>
    <w:tbl>
      <w:tblPr>
        <w:tblStyle w:val="21"/>
        <w:tblW w:w="869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6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039" w:hRule="atLeast"/>
          <w:jc w:val="center"/>
        </w:trPr>
        <w:tc>
          <w:tcPr>
            <w:tcW w:w="8691" w:type="dxa"/>
            <w:vAlign w:val="center"/>
          </w:tcPr>
          <w:p>
            <w:pPr>
              <w:widowControl w:val="0"/>
              <w:spacing w:after="0" w:line="440" w:lineRule="exact"/>
              <w:ind w:right="32"/>
              <w:jc w:val="both"/>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b/>
                <w:kern w:val="2"/>
                <w:sz w:val="24"/>
                <w:szCs w:val="28"/>
                <w:lang w:eastAsia="zh-CN" w:bidi="ar-SA"/>
              </w:rPr>
              <w:t>一</w:t>
            </w:r>
            <w:r>
              <w:rPr>
                <w:rFonts w:hint="eastAsia" w:ascii="仿宋_GB2312" w:hAnsi="Times New Roman" w:eastAsia="仿宋_GB2312" w:cs="Times New Roman"/>
                <w:kern w:val="2"/>
                <w:sz w:val="24"/>
                <w:szCs w:val="28"/>
                <w:lang w:eastAsia="zh-CN" w:bidi="ar-SA"/>
              </w:rPr>
              <w:t>、审查依据：</w:t>
            </w:r>
          </w:p>
          <w:p>
            <w:pPr>
              <w:widowControl w:val="0"/>
              <w:spacing w:after="0" w:line="400" w:lineRule="exact"/>
              <w:jc w:val="both"/>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1、《城市轨道交通运营管理规定》（中华人民共和国交通运输部令2018年第8号）</w:t>
            </w:r>
          </w:p>
          <w:p>
            <w:pPr>
              <w:widowControl w:val="0"/>
              <w:spacing w:after="0" w:line="400" w:lineRule="exact"/>
              <w:jc w:val="both"/>
              <w:rPr>
                <w:rFonts w:ascii="仿宋_GB2312" w:hAnsi="Times New Roman" w:eastAsia="仿宋_GB2312" w:cs="Times New Roman"/>
                <w:kern w:val="2"/>
                <w:sz w:val="24"/>
                <w:szCs w:val="28"/>
                <w:lang w:eastAsia="zh-CN" w:bidi="ar-SA"/>
              </w:rPr>
            </w:pPr>
            <w:r>
              <w:rPr>
                <w:rFonts w:ascii="仿宋_GB2312" w:hAnsi="Times New Roman" w:eastAsia="仿宋_GB2312" w:cs="Times New Roman"/>
                <w:kern w:val="2"/>
                <w:sz w:val="24"/>
                <w:szCs w:val="28"/>
                <w:lang w:eastAsia="zh-CN" w:bidi="ar-SA"/>
              </w:rPr>
              <w:t>2</w:t>
            </w:r>
            <w:r>
              <w:rPr>
                <w:rFonts w:hint="eastAsia" w:ascii="仿宋_GB2312" w:hAnsi="Times New Roman" w:eastAsia="仿宋_GB2312" w:cs="Times New Roman"/>
                <w:kern w:val="2"/>
                <w:sz w:val="24"/>
                <w:szCs w:val="28"/>
                <w:lang w:eastAsia="zh-CN" w:bidi="ar-SA"/>
              </w:rPr>
              <w:t>、《</w:t>
            </w:r>
            <w:r>
              <w:rPr>
                <w:rFonts w:ascii="仿宋_GB2312" w:hAnsi="Times New Roman" w:eastAsia="仿宋_GB2312" w:cs="Times New Roman"/>
                <w:kern w:val="2"/>
                <w:sz w:val="24"/>
                <w:szCs w:val="28"/>
                <w:lang w:eastAsia="zh-CN" w:bidi="ar-SA"/>
              </w:rPr>
              <w:t>温州市城市轨道交通管理办法</w:t>
            </w:r>
            <w:r>
              <w:rPr>
                <w:rFonts w:hint="eastAsia" w:ascii="仿宋_GB2312" w:hAnsi="Times New Roman" w:eastAsia="仿宋_GB2312" w:cs="Times New Roman"/>
                <w:kern w:val="2"/>
                <w:sz w:val="24"/>
                <w:szCs w:val="28"/>
                <w:lang w:eastAsia="zh-CN" w:bidi="ar-SA"/>
              </w:rPr>
              <w:t>（试行）》（温州市人民政府令第</w:t>
            </w:r>
            <w:r>
              <w:rPr>
                <w:rFonts w:ascii="仿宋_GB2312" w:hAnsi="Times New Roman" w:eastAsia="仿宋_GB2312" w:cs="Times New Roman"/>
                <w:kern w:val="2"/>
                <w:sz w:val="24"/>
                <w:szCs w:val="28"/>
                <w:lang w:eastAsia="zh-CN" w:bidi="ar-SA"/>
              </w:rPr>
              <w:t>3</w:t>
            </w:r>
            <w:r>
              <w:rPr>
                <w:rFonts w:hint="eastAsia" w:ascii="仿宋_GB2312" w:hAnsi="Times New Roman" w:eastAsia="仿宋_GB2312" w:cs="Times New Roman"/>
                <w:kern w:val="2"/>
                <w:sz w:val="24"/>
                <w:szCs w:val="28"/>
                <w:lang w:eastAsia="zh-CN" w:bidi="ar-SA"/>
              </w:rPr>
              <w:t>号）</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二、简易项目认定类别参考：</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经市铁投集团轨保办确认为对轨道交通无影响或影响较小的项目，主要为条状或点状开挖的管沟、路面、景观等项目，开挖、</w:t>
            </w:r>
            <w:r>
              <w:rPr>
                <w:rFonts w:ascii="仿宋_GB2312" w:hAnsi="Times New Roman" w:eastAsia="仿宋_GB2312" w:cs="Times New Roman"/>
                <w:kern w:val="2"/>
                <w:sz w:val="24"/>
                <w:szCs w:val="28"/>
                <w:lang w:eastAsia="zh-CN" w:bidi="ar-SA"/>
              </w:rPr>
              <w:t>填方</w:t>
            </w:r>
            <w:r>
              <w:rPr>
                <w:rFonts w:hint="eastAsia" w:ascii="仿宋_GB2312" w:hAnsi="Times New Roman" w:eastAsia="仿宋_GB2312" w:cs="Times New Roman"/>
                <w:kern w:val="2"/>
                <w:sz w:val="24"/>
                <w:szCs w:val="28"/>
                <w:lang w:eastAsia="zh-CN" w:bidi="ar-SA"/>
              </w:rPr>
              <w:t>面积</w:t>
            </w:r>
            <w:r>
              <w:rPr>
                <w:rFonts w:ascii="仿宋_GB2312" w:hAnsi="Times New Roman" w:eastAsia="仿宋_GB2312" w:cs="Times New Roman"/>
                <w:kern w:val="2"/>
                <w:sz w:val="24"/>
                <w:szCs w:val="28"/>
                <w:lang w:eastAsia="zh-CN" w:bidi="ar-SA"/>
              </w:rPr>
              <w:t>较小，</w:t>
            </w:r>
            <w:r>
              <w:rPr>
                <w:rFonts w:hint="eastAsia" w:ascii="仿宋_GB2312" w:hAnsi="Times New Roman" w:eastAsia="仿宋_GB2312" w:cs="Times New Roman"/>
                <w:kern w:val="2"/>
                <w:sz w:val="24"/>
                <w:szCs w:val="28"/>
                <w:lang w:eastAsia="zh-CN" w:bidi="ar-SA"/>
              </w:rPr>
              <w:t>且完工后地面标高保持不变，</w:t>
            </w:r>
            <w:r>
              <w:rPr>
                <w:rFonts w:ascii="仿宋_GB2312" w:hAnsi="Times New Roman" w:eastAsia="仿宋_GB2312" w:cs="Times New Roman"/>
                <w:kern w:val="2"/>
                <w:sz w:val="24"/>
                <w:szCs w:val="28"/>
                <w:lang w:eastAsia="zh-CN" w:bidi="ar-SA"/>
              </w:rPr>
              <w:t>或其他</w:t>
            </w:r>
            <w:r>
              <w:rPr>
                <w:rFonts w:hint="eastAsia" w:ascii="仿宋_GB2312" w:hAnsi="Times New Roman" w:eastAsia="仿宋_GB2312" w:cs="Times New Roman"/>
                <w:kern w:val="2"/>
                <w:sz w:val="24"/>
                <w:szCs w:val="28"/>
                <w:lang w:eastAsia="zh-CN" w:bidi="ar-SA"/>
              </w:rPr>
              <w:t>临时性</w:t>
            </w:r>
            <w:r>
              <w:rPr>
                <w:rFonts w:ascii="仿宋_GB2312" w:hAnsi="Times New Roman" w:eastAsia="仿宋_GB2312" w:cs="Times New Roman"/>
                <w:kern w:val="2"/>
                <w:sz w:val="24"/>
                <w:szCs w:val="28"/>
                <w:lang w:eastAsia="zh-CN" w:bidi="ar-SA"/>
              </w:rPr>
              <w:t>简易</w:t>
            </w:r>
            <w:r>
              <w:rPr>
                <w:rFonts w:hint="eastAsia" w:ascii="仿宋_GB2312" w:hAnsi="Times New Roman" w:eastAsia="仿宋_GB2312" w:cs="Times New Roman"/>
                <w:kern w:val="2"/>
                <w:sz w:val="24"/>
                <w:szCs w:val="28"/>
                <w:lang w:eastAsia="zh-CN" w:bidi="ar-SA"/>
              </w:rPr>
              <w:t>工程。</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A、地下车站、</w:t>
            </w:r>
            <w:r>
              <w:rPr>
                <w:rFonts w:ascii="仿宋_GB2312" w:hAnsi="Times New Roman" w:eastAsia="仿宋_GB2312" w:cs="Times New Roman"/>
                <w:kern w:val="2"/>
                <w:sz w:val="24"/>
                <w:szCs w:val="28"/>
                <w:lang w:eastAsia="zh-CN" w:bidi="ar-SA"/>
              </w:rPr>
              <w:t>区间</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1、临时挖、填深度不超过1.0米，与轨道交通结构无冲突的项目；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2、与轨道交通结构净距不小于</w:t>
            </w:r>
            <w:r>
              <w:rPr>
                <w:rFonts w:ascii="仿宋_GB2312" w:hAnsi="Times New Roman" w:eastAsia="仿宋_GB2312" w:cs="Times New Roman"/>
                <w:kern w:val="2"/>
                <w:sz w:val="24"/>
                <w:szCs w:val="28"/>
                <w:lang w:eastAsia="zh-CN" w:bidi="ar-SA"/>
              </w:rPr>
              <w:t>15</w:t>
            </w:r>
            <w:r>
              <w:rPr>
                <w:rFonts w:hint="eastAsia" w:ascii="仿宋_GB2312" w:hAnsi="Times New Roman" w:eastAsia="仿宋_GB2312" w:cs="Times New Roman"/>
                <w:kern w:val="2"/>
                <w:sz w:val="24"/>
                <w:szCs w:val="28"/>
                <w:lang w:eastAsia="zh-CN" w:bidi="ar-SA"/>
              </w:rPr>
              <w:t>米，临时挖、填深度不超过</w:t>
            </w:r>
            <w:r>
              <w:rPr>
                <w:rFonts w:ascii="仿宋_GB2312" w:hAnsi="Times New Roman" w:eastAsia="仿宋_GB2312" w:cs="Times New Roman"/>
                <w:kern w:val="2"/>
                <w:sz w:val="24"/>
                <w:szCs w:val="28"/>
                <w:lang w:eastAsia="zh-CN" w:bidi="ar-SA"/>
              </w:rPr>
              <w:t>2.0</w:t>
            </w:r>
            <w:r>
              <w:rPr>
                <w:rFonts w:hint="eastAsia" w:ascii="仿宋_GB2312" w:hAnsi="Times New Roman" w:eastAsia="仿宋_GB2312" w:cs="Times New Roman"/>
                <w:kern w:val="2"/>
                <w:sz w:val="24"/>
                <w:szCs w:val="28"/>
                <w:lang w:eastAsia="zh-CN" w:bidi="ar-SA"/>
              </w:rPr>
              <w:t>米的项目；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3、与轨道交通结构净距不小于</w:t>
            </w:r>
            <w:r>
              <w:rPr>
                <w:rFonts w:ascii="仿宋_GB2312" w:hAnsi="Times New Roman" w:eastAsia="仿宋_GB2312" w:cs="Times New Roman"/>
                <w:kern w:val="2"/>
                <w:sz w:val="24"/>
                <w:szCs w:val="28"/>
                <w:lang w:eastAsia="zh-CN" w:bidi="ar-SA"/>
              </w:rPr>
              <w:t>30</w:t>
            </w:r>
            <w:r>
              <w:rPr>
                <w:rFonts w:hint="eastAsia" w:ascii="仿宋_GB2312" w:hAnsi="Times New Roman" w:eastAsia="仿宋_GB2312" w:cs="Times New Roman"/>
                <w:kern w:val="2"/>
                <w:sz w:val="24"/>
                <w:szCs w:val="28"/>
                <w:lang w:eastAsia="zh-CN" w:bidi="ar-SA"/>
              </w:rPr>
              <w:t>米，临时挖、填深度不超过</w:t>
            </w:r>
            <w:r>
              <w:rPr>
                <w:rFonts w:ascii="仿宋_GB2312" w:hAnsi="Times New Roman" w:eastAsia="仿宋_GB2312" w:cs="Times New Roman"/>
                <w:kern w:val="2"/>
                <w:sz w:val="24"/>
                <w:szCs w:val="28"/>
                <w:lang w:eastAsia="zh-CN" w:bidi="ar-SA"/>
              </w:rPr>
              <w:t>3</w:t>
            </w:r>
            <w:r>
              <w:rPr>
                <w:rFonts w:hint="eastAsia" w:ascii="仿宋_GB2312" w:hAnsi="Times New Roman" w:eastAsia="仿宋_GB2312" w:cs="Times New Roman"/>
                <w:kern w:val="2"/>
                <w:sz w:val="24"/>
                <w:szCs w:val="28"/>
                <w:lang w:eastAsia="zh-CN" w:bidi="ar-SA"/>
              </w:rPr>
              <w:t>.</w:t>
            </w:r>
            <w:r>
              <w:rPr>
                <w:rFonts w:ascii="仿宋_GB2312" w:hAnsi="Times New Roman" w:eastAsia="仿宋_GB2312" w:cs="Times New Roman"/>
                <w:kern w:val="2"/>
                <w:sz w:val="24"/>
                <w:szCs w:val="28"/>
                <w:lang w:eastAsia="zh-CN" w:bidi="ar-SA"/>
              </w:rPr>
              <w:t>0</w:t>
            </w:r>
            <w:r>
              <w:rPr>
                <w:rFonts w:hint="eastAsia" w:ascii="仿宋_GB2312" w:hAnsi="Times New Roman" w:eastAsia="仿宋_GB2312" w:cs="Times New Roman"/>
                <w:kern w:val="2"/>
                <w:sz w:val="24"/>
                <w:szCs w:val="28"/>
                <w:lang w:eastAsia="zh-CN" w:bidi="ar-SA"/>
              </w:rPr>
              <w:t>米的项目；</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ascii="仿宋_GB2312" w:hAnsi="Times New Roman" w:eastAsia="仿宋_GB2312" w:cs="Times New Roman"/>
                <w:kern w:val="2"/>
                <w:sz w:val="24"/>
                <w:szCs w:val="28"/>
                <w:lang w:eastAsia="zh-CN" w:bidi="ar-SA"/>
              </w:rPr>
              <w:t>B</w:t>
            </w:r>
            <w:r>
              <w:rPr>
                <w:rFonts w:hint="eastAsia" w:ascii="仿宋_GB2312" w:hAnsi="Times New Roman" w:eastAsia="仿宋_GB2312" w:cs="Times New Roman"/>
                <w:kern w:val="2"/>
                <w:sz w:val="24"/>
                <w:szCs w:val="28"/>
                <w:lang w:eastAsia="zh-CN" w:bidi="ar-SA"/>
              </w:rPr>
              <w:t>、高架段、</w:t>
            </w:r>
            <w:r>
              <w:rPr>
                <w:rFonts w:ascii="仿宋_GB2312" w:hAnsi="Times New Roman" w:eastAsia="仿宋_GB2312" w:cs="Times New Roman"/>
                <w:kern w:val="2"/>
                <w:sz w:val="24"/>
                <w:szCs w:val="28"/>
                <w:lang w:eastAsia="zh-CN" w:bidi="ar-SA"/>
              </w:rPr>
              <w:t>路基段</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1、临时挖、填深度不超过1.</w:t>
            </w:r>
            <w:r>
              <w:rPr>
                <w:rFonts w:ascii="仿宋_GB2312" w:hAnsi="Times New Roman" w:eastAsia="仿宋_GB2312" w:cs="Times New Roman"/>
                <w:kern w:val="2"/>
                <w:sz w:val="24"/>
                <w:szCs w:val="28"/>
                <w:lang w:eastAsia="zh-CN" w:bidi="ar-SA"/>
              </w:rPr>
              <w:t>0</w:t>
            </w:r>
            <w:r>
              <w:rPr>
                <w:rFonts w:hint="eastAsia" w:ascii="仿宋_GB2312" w:hAnsi="Times New Roman" w:eastAsia="仿宋_GB2312" w:cs="Times New Roman"/>
                <w:kern w:val="2"/>
                <w:sz w:val="24"/>
                <w:szCs w:val="28"/>
                <w:lang w:eastAsia="zh-CN" w:bidi="ar-SA"/>
              </w:rPr>
              <w:t>米，与轨道交通桩基、桥梁无冲突的项目；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2、与轨道交通结构净距不小于</w:t>
            </w:r>
            <w:r>
              <w:rPr>
                <w:rFonts w:ascii="仿宋_GB2312" w:hAnsi="Times New Roman" w:eastAsia="仿宋_GB2312" w:cs="Times New Roman"/>
                <w:kern w:val="2"/>
                <w:sz w:val="24"/>
                <w:szCs w:val="28"/>
                <w:lang w:eastAsia="zh-CN" w:bidi="ar-SA"/>
              </w:rPr>
              <w:t>10</w:t>
            </w:r>
            <w:r>
              <w:rPr>
                <w:rFonts w:hint="eastAsia" w:ascii="仿宋_GB2312" w:hAnsi="Times New Roman" w:eastAsia="仿宋_GB2312" w:cs="Times New Roman"/>
                <w:kern w:val="2"/>
                <w:sz w:val="24"/>
                <w:szCs w:val="28"/>
                <w:lang w:eastAsia="zh-CN" w:bidi="ar-SA"/>
              </w:rPr>
              <w:t>米，临时挖、填深度不超过2.0米的项目；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3、与轨道交通结构净距不小于</w:t>
            </w:r>
            <w:r>
              <w:rPr>
                <w:rFonts w:ascii="仿宋_GB2312" w:hAnsi="Times New Roman" w:eastAsia="仿宋_GB2312" w:cs="Times New Roman"/>
                <w:kern w:val="2"/>
                <w:sz w:val="24"/>
                <w:szCs w:val="28"/>
                <w:lang w:eastAsia="zh-CN" w:bidi="ar-SA"/>
              </w:rPr>
              <w:t>2</w:t>
            </w:r>
            <w:r>
              <w:rPr>
                <w:rFonts w:hint="eastAsia" w:ascii="仿宋_GB2312" w:hAnsi="Times New Roman" w:eastAsia="仿宋_GB2312" w:cs="Times New Roman"/>
                <w:kern w:val="2"/>
                <w:sz w:val="24"/>
                <w:szCs w:val="28"/>
                <w:lang w:eastAsia="zh-CN" w:bidi="ar-SA"/>
              </w:rPr>
              <w:t>0米，临时挖、填深度不超过3.0米的项目；</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本审查表仅适用于简易项目方案审查，不适用于勘察方案和大面积挖、填类项目方案审查。</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三、本表</w:t>
            </w:r>
            <w:r>
              <w:rPr>
                <w:rFonts w:ascii="仿宋_GB2312" w:hAnsi="Times New Roman" w:eastAsia="仿宋_GB2312" w:cs="Times New Roman"/>
                <w:kern w:val="2"/>
                <w:sz w:val="24"/>
                <w:szCs w:val="28"/>
                <w:lang w:eastAsia="zh-CN" w:bidi="ar-SA"/>
              </w:rPr>
              <w:t>由</w:t>
            </w:r>
            <w:r>
              <w:rPr>
                <w:rFonts w:hint="eastAsia" w:ascii="仿宋_GB2312" w:hAnsi="Times New Roman" w:eastAsia="仿宋_GB2312" w:cs="Times New Roman"/>
                <w:kern w:val="2"/>
                <w:sz w:val="24"/>
                <w:szCs w:val="28"/>
                <w:lang w:eastAsia="zh-CN" w:bidi="ar-SA"/>
              </w:rPr>
              <w:t>我司</w:t>
            </w:r>
            <w:r>
              <w:rPr>
                <w:rFonts w:ascii="仿宋_GB2312" w:hAnsi="Times New Roman" w:eastAsia="仿宋_GB2312" w:cs="Times New Roman"/>
                <w:kern w:val="2"/>
                <w:sz w:val="24"/>
                <w:szCs w:val="28"/>
                <w:lang w:eastAsia="zh-CN" w:bidi="ar-SA"/>
              </w:rPr>
              <w:t>轨保办</w:t>
            </w:r>
            <w:r>
              <w:rPr>
                <w:rFonts w:hint="eastAsia" w:ascii="仿宋_GB2312" w:hAnsi="Times New Roman" w:eastAsia="仿宋_GB2312" w:cs="Times New Roman"/>
                <w:kern w:val="2"/>
                <w:sz w:val="24"/>
                <w:szCs w:val="28"/>
                <w:lang w:eastAsia="zh-CN" w:bidi="ar-SA"/>
              </w:rPr>
              <w:t>审查完成签字盖章，与我司出具的审查意见书同等效力。</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四、项目建设单位和参建单位在</w:t>
            </w:r>
            <w:r>
              <w:rPr>
                <w:rFonts w:ascii="仿宋_GB2312" w:hAnsi="Times New Roman" w:eastAsia="仿宋_GB2312" w:cs="Times New Roman"/>
                <w:kern w:val="2"/>
                <w:sz w:val="24"/>
                <w:szCs w:val="28"/>
                <w:lang w:eastAsia="zh-CN" w:bidi="ar-SA"/>
              </w:rPr>
              <w:t>施工过程中</w:t>
            </w:r>
            <w:r>
              <w:rPr>
                <w:rFonts w:hint="eastAsia" w:ascii="仿宋_GB2312" w:hAnsi="Times New Roman" w:eastAsia="仿宋_GB2312" w:cs="Times New Roman"/>
                <w:kern w:val="2"/>
                <w:sz w:val="24"/>
                <w:szCs w:val="28"/>
                <w:lang w:eastAsia="zh-CN" w:bidi="ar-SA"/>
              </w:rPr>
              <w:t>应接受市铁投集团</w:t>
            </w:r>
            <w:r>
              <w:rPr>
                <w:rFonts w:ascii="仿宋_GB2312" w:hAnsi="Times New Roman" w:eastAsia="仿宋_GB2312" w:cs="Times New Roman"/>
                <w:kern w:val="2"/>
                <w:sz w:val="24"/>
                <w:szCs w:val="28"/>
                <w:lang w:eastAsia="zh-CN" w:bidi="ar-SA"/>
              </w:rPr>
              <w:t>监督和管理</w:t>
            </w:r>
            <w:r>
              <w:rPr>
                <w:rFonts w:hint="eastAsia" w:ascii="仿宋_GB2312" w:hAnsi="Times New Roman" w:eastAsia="仿宋_GB2312" w:cs="Times New Roman"/>
                <w:kern w:val="2"/>
                <w:sz w:val="24"/>
                <w:szCs w:val="28"/>
                <w:lang w:eastAsia="zh-CN" w:bidi="ar-SA"/>
              </w:rPr>
              <w:t>。</w:t>
            </w:r>
          </w:p>
          <w:p>
            <w:pPr>
              <w:widowControl w:val="0"/>
              <w:spacing w:after="0" w:line="440" w:lineRule="exact"/>
              <w:ind w:right="32"/>
              <w:rPr>
                <w:rFonts w:ascii="仿宋_GB2312" w:hAnsi="Times New Roman" w:eastAsia="仿宋_GB2312" w:cs="Times New Roman"/>
                <w:kern w:val="2"/>
                <w:sz w:val="24"/>
                <w:szCs w:val="24"/>
                <w:lang w:eastAsia="zh-CN" w:bidi="ar-SA"/>
              </w:rPr>
            </w:pPr>
            <w:r>
              <w:rPr>
                <w:rFonts w:hint="eastAsia" w:ascii="仿宋_GB2312" w:hAnsi="Times New Roman" w:eastAsia="仿宋_GB2312" w:cs="Times New Roman"/>
                <w:kern w:val="2"/>
                <w:sz w:val="24"/>
                <w:szCs w:val="28"/>
                <w:lang w:eastAsia="zh-CN" w:bidi="ar-SA"/>
              </w:rPr>
              <w:t>五、项目建设单位和参建单位对项目的施工内容和工法的真实性负责，应满足工程质量和环保要求，施工过程中不得影响轨道交通结构、设施和设备安全，不得影响轨道交通乘客的正常通行和人身安全，并应承担相应的法律和经济责任。</w:t>
            </w:r>
          </w:p>
        </w:tc>
      </w:tr>
    </w:tbl>
    <w:p>
      <w:pPr>
        <w:widowControl w:val="0"/>
        <w:spacing w:after="0" w:line="440" w:lineRule="exact"/>
        <w:ind w:right="32"/>
        <w:jc w:val="center"/>
        <w:rPr>
          <w:rFonts w:ascii="仿宋_GB2312" w:hAnsi="Times New Roman" w:eastAsia="仿宋_GB2312" w:cs="Times New Roman"/>
          <w:kern w:val="2"/>
          <w:sz w:val="21"/>
          <w:szCs w:val="21"/>
          <w:lang w:eastAsia="zh-CN" w:bidi="ar-SA"/>
        </w:rPr>
      </w:pPr>
      <w:r>
        <w:rPr>
          <w:rFonts w:hint="eastAsia" w:ascii="仿宋_GB2312" w:hAnsi="Times New Roman" w:eastAsia="仿宋_GB2312" w:cs="Times New Roman"/>
          <w:kern w:val="2"/>
          <w:szCs w:val="21"/>
          <w:lang w:eastAsia="zh-CN" w:bidi="ar-SA"/>
        </w:rPr>
        <w:t xml:space="preserve">       以上内容解释权归温州市</w:t>
      </w:r>
      <w:r>
        <w:rPr>
          <w:rFonts w:ascii="仿宋_GB2312" w:hAnsi="Times New Roman" w:eastAsia="仿宋_GB2312" w:cs="Times New Roman"/>
          <w:kern w:val="2"/>
          <w:szCs w:val="21"/>
          <w:lang w:eastAsia="zh-CN" w:bidi="ar-SA"/>
        </w:rPr>
        <w:t>铁路与轨道交通投资集团</w:t>
      </w:r>
      <w:r>
        <w:rPr>
          <w:rFonts w:hint="eastAsia" w:ascii="仿宋_GB2312" w:hAnsi="Times New Roman" w:eastAsia="仿宋_GB2312" w:cs="Times New Roman"/>
          <w:kern w:val="2"/>
          <w:szCs w:val="21"/>
          <w:lang w:eastAsia="zh-CN" w:bidi="ar-SA"/>
        </w:rPr>
        <w:t>有限</w:t>
      </w:r>
      <w:r>
        <w:rPr>
          <w:rFonts w:ascii="仿宋_GB2312" w:hAnsi="Times New Roman" w:eastAsia="仿宋_GB2312" w:cs="Times New Roman"/>
          <w:kern w:val="2"/>
          <w:szCs w:val="21"/>
          <w:lang w:eastAsia="zh-CN" w:bidi="ar-SA"/>
        </w:rPr>
        <w:t>公司</w:t>
      </w:r>
      <w:r>
        <w:rPr>
          <w:rFonts w:hint="eastAsia" w:ascii="仿宋_GB2312" w:hAnsi="Times New Roman" w:eastAsia="仿宋_GB2312" w:cs="Times New Roman"/>
          <w:kern w:val="2"/>
          <w:szCs w:val="21"/>
          <w:lang w:eastAsia="zh-CN" w:bidi="ar-SA"/>
        </w:rPr>
        <w:t xml:space="preserve">。   </w:t>
      </w:r>
      <w:r>
        <w:rPr>
          <w:rFonts w:hint="eastAsia" w:ascii="仿宋_GB2312" w:hAnsi="Times New Roman" w:eastAsia="仿宋_GB2312" w:cs="Times New Roman"/>
          <w:kern w:val="2"/>
          <w:sz w:val="21"/>
          <w:szCs w:val="21"/>
          <w:lang w:eastAsia="zh-CN" w:bidi="ar-SA"/>
        </w:rPr>
        <w:t>（表反面）</w:t>
      </w:r>
    </w:p>
    <w:p>
      <w:pPr>
        <w:rPr>
          <w:lang w:eastAsia="zh-CN"/>
        </w:rPr>
      </w:pPr>
      <w:r>
        <w:rPr>
          <w:rFonts w:hint="eastAsia" w:ascii="仿宋_GB2312" w:hAnsi="Times New Roman" w:eastAsia="仿宋_GB2312" w:cs="Times New Roman"/>
          <w:kern w:val="2"/>
          <w:sz w:val="21"/>
          <w:szCs w:val="21"/>
          <w:lang w:eastAsia="zh-CN" w:bidi="ar-SA"/>
        </w:rPr>
        <w:br w:type="page"/>
      </w:r>
    </w:p>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bookmarkStart w:id="19" w:name="_Toc23190_WPSOffice_Level1"/>
      <w:r>
        <w:rPr>
          <w:rFonts w:hint="eastAsia" w:ascii="文星简小标宋" w:hAnsi="黑体" w:eastAsia="文星简小标宋" w:cs="Times New Roman"/>
          <w:color w:val="000000"/>
          <w:kern w:val="2"/>
          <w:sz w:val="32"/>
          <w:szCs w:val="32"/>
          <w:lang w:eastAsia="zh-CN" w:bidi="ar-SA"/>
        </w:rPr>
        <w:t>温州市轨道交通保护区建设项目开工申请表</w:t>
      </w:r>
      <w:bookmarkEnd w:id="19"/>
    </w:p>
    <w:p>
      <w:pPr>
        <w:widowControl w:val="0"/>
        <w:spacing w:line="380" w:lineRule="exact"/>
        <w:jc w:val="both"/>
        <w:rPr>
          <w:rFonts w:ascii="宋体" w:hAnsi="宋体" w:cs="Times New Roman"/>
          <w:bCs/>
          <w:kern w:val="2"/>
          <w:sz w:val="18"/>
          <w:szCs w:val="24"/>
          <w:lang w:eastAsia="zh-CN" w:bidi="ar-SA"/>
        </w:rPr>
      </w:pPr>
      <w:r>
        <w:rPr>
          <w:rFonts w:hint="eastAsia" w:ascii="宋体" w:hAnsi="宋体" w:cs="Times New Roman"/>
          <w:bCs/>
          <w:kern w:val="2"/>
          <w:sz w:val="18"/>
          <w:szCs w:val="24"/>
          <w:lang w:eastAsia="zh-CN" w:bidi="ar-SA"/>
        </w:rPr>
        <w:t xml:space="preserve">                                                             </w:t>
      </w:r>
      <w:r>
        <w:rPr>
          <w:rFonts w:hint="eastAsia" w:ascii="仿宋_GB2312" w:hAnsi="Times New Roman" w:eastAsia="仿宋_GB2312" w:cs="Times New Roman"/>
          <w:kern w:val="2"/>
          <w:sz w:val="21"/>
          <w:szCs w:val="21"/>
          <w:lang w:eastAsia="zh-CN" w:bidi="ar-SA"/>
        </w:rPr>
        <w:t xml:space="preserve">      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692"/>
        <w:gridCol w:w="1419"/>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restart"/>
            <w:vAlign w:val="center"/>
          </w:tcPr>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申</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请</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人</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填</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写</w:t>
            </w:r>
          </w:p>
        </w:tc>
        <w:tc>
          <w:tcPr>
            <w:tcW w:w="8126" w:type="dxa"/>
            <w:gridSpan w:val="3"/>
            <w:vAlign w:val="center"/>
          </w:tcPr>
          <w:p>
            <w:pPr>
              <w:widowControl w:val="0"/>
              <w:spacing w:after="0" w:line="240" w:lineRule="auto"/>
              <w:jc w:val="both"/>
              <w:rPr>
                <w:rFonts w:ascii="宋体" w:hAnsi="宋体"/>
                <w:bCs/>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 xml:space="preserve">建设单位名称 ：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4692"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建设单位项目负责人：</w:t>
            </w:r>
          </w:p>
        </w:tc>
        <w:tc>
          <w:tcPr>
            <w:tcW w:w="1419" w:type="dxa"/>
            <w:vAlign w:val="center"/>
          </w:tcPr>
          <w:p>
            <w:pPr>
              <w:widowControl w:val="0"/>
              <w:spacing w:after="0" w:line="240" w:lineRule="auto"/>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移动电话</w:t>
            </w:r>
          </w:p>
        </w:tc>
        <w:tc>
          <w:tcPr>
            <w:tcW w:w="2015"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4692"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施工单位名称 ：</w:t>
            </w:r>
          </w:p>
        </w:tc>
        <w:tc>
          <w:tcPr>
            <w:tcW w:w="1419" w:type="dxa"/>
            <w:vAlign w:val="center"/>
          </w:tcPr>
          <w:p>
            <w:pPr>
              <w:widowControl w:val="0"/>
              <w:spacing w:after="0" w:line="240" w:lineRule="auto"/>
              <w:jc w:val="both"/>
              <w:rPr>
                <w:rFonts w:hint="eastAsia"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项目负责人</w:t>
            </w:r>
          </w:p>
          <w:p>
            <w:pPr>
              <w:widowControl w:val="0"/>
              <w:spacing w:after="0" w:line="240" w:lineRule="auto"/>
              <w:jc w:val="center"/>
              <w:rPr>
                <w:rFonts w:hint="eastAsia"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电</w:t>
            </w:r>
            <w:r>
              <w:rPr>
                <w:rFonts w:hint="eastAsia" w:ascii="仿宋_GB2312" w:hAnsi="宋体" w:eastAsia="仿宋_GB2312" w:cs="Times New Roman"/>
                <w:kern w:val="2"/>
                <w:sz w:val="21"/>
                <w:szCs w:val="21"/>
                <w:lang w:val="en-US" w:eastAsia="zh-CN" w:bidi="ar-SA"/>
              </w:rPr>
              <w:t xml:space="preserve"> </w:t>
            </w:r>
            <w:r>
              <w:rPr>
                <w:rFonts w:hint="eastAsia" w:ascii="仿宋_GB2312" w:hAnsi="宋体" w:eastAsia="仿宋_GB2312" w:cs="Times New Roman"/>
                <w:kern w:val="2"/>
                <w:sz w:val="21"/>
                <w:szCs w:val="21"/>
                <w:lang w:eastAsia="zh-CN" w:bidi="ar-SA"/>
              </w:rPr>
              <w:t>话</w:t>
            </w:r>
            <w:bookmarkStart w:id="87" w:name="_GoBack"/>
            <w:bookmarkEnd w:id="87"/>
          </w:p>
        </w:tc>
        <w:tc>
          <w:tcPr>
            <w:tcW w:w="2015" w:type="dxa"/>
            <w:vAlign w:val="center"/>
          </w:tcPr>
          <w:p>
            <w:pPr>
              <w:widowControl w:val="0"/>
              <w:spacing w:after="0" w:line="240" w:lineRule="auto"/>
              <w:jc w:val="both"/>
              <w:rPr>
                <w:rFonts w:hint="eastAsia" w:ascii="仿宋_GB2312" w:hAnsi="宋体"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施工工期计划：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commentRangeStart w:id="0"/>
            <w:r>
              <w:rPr>
                <w:rFonts w:hint="eastAsia" w:ascii="仿宋_GB2312" w:hAnsi="宋体" w:eastAsia="仿宋_GB2312" w:cs="Times New Roman"/>
                <w:kern w:val="2"/>
                <w:sz w:val="21"/>
                <w:szCs w:val="21"/>
                <w:lang w:eastAsia="zh-CN" w:bidi="ar-SA"/>
              </w:rPr>
              <w:t>受影响轨道交通范围</w:t>
            </w:r>
            <w:commentRangeEnd w:id="0"/>
            <w:r>
              <w:commentReference w:id="0"/>
            </w:r>
            <w:r>
              <w:rPr>
                <w:rFonts w:hint="eastAsia" w:ascii="仿宋_GB2312" w:hAnsi="宋体" w:eastAsia="仿宋_GB2312" w:cs="Times New Roman"/>
                <w:kern w:val="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b/>
                <w:bCs/>
                <w:kern w:val="2"/>
                <w:sz w:val="24"/>
                <w:szCs w:val="24"/>
                <w:lang w:eastAsia="zh-CN" w:bidi="ar-SA"/>
              </w:rPr>
              <w:t>申请同时提交以下资料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1.</w:t>
            </w:r>
            <w:r>
              <w:rPr>
                <w:rFonts w:hint="eastAsia" w:ascii="仿宋" w:hAnsi="仿宋" w:eastAsia="仿宋" w:cs="仿宋"/>
                <w:bCs/>
                <w:kern w:val="2"/>
                <w:sz w:val="24"/>
                <w:szCs w:val="24"/>
                <w:lang w:eastAsia="zh-CN" w:bidi="ar-SA"/>
              </w:rPr>
              <w:t>轨道交通保护区建设项目审查意见单（专项施工保护方案）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Times New Roman" w:hAnsi="Times New Roman" w:cs="Times New Roman"/>
                <w:kern w:val="2"/>
                <w:sz w:val="21"/>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2.《</w:t>
            </w:r>
            <w:r>
              <w:rPr>
                <w:rFonts w:hint="eastAsia" w:ascii="仿宋" w:hAnsi="仿宋" w:eastAsia="仿宋" w:cs="仿宋"/>
                <w:bCs/>
                <w:kern w:val="2"/>
                <w:sz w:val="24"/>
                <w:szCs w:val="24"/>
                <w:lang w:eastAsia="zh-CN" w:bidi="ar-SA"/>
              </w:rPr>
              <w:t>安全保障承诺书</w:t>
            </w:r>
            <w:r>
              <w:rPr>
                <w:rFonts w:hint="eastAsia" w:ascii="仿宋" w:hAnsi="仿宋" w:eastAsia="仿宋" w:cs="仿宋"/>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3.《</w:t>
            </w:r>
            <w:r>
              <w:rPr>
                <w:rFonts w:hint="eastAsia" w:ascii="仿宋" w:hAnsi="仿宋" w:eastAsia="仿宋" w:cs="仿宋"/>
                <w:bCs/>
                <w:kern w:val="2"/>
                <w:sz w:val="24"/>
                <w:szCs w:val="24"/>
                <w:lang w:eastAsia="zh-CN" w:bidi="ar-SA"/>
              </w:rPr>
              <w:t>温州市轨道交通保护区施工作业安全协议书</w:t>
            </w:r>
            <w:r>
              <w:rPr>
                <w:rFonts w:hint="eastAsia" w:ascii="仿宋" w:hAnsi="仿宋" w:eastAsia="仿宋" w:cs="仿宋"/>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4.</w:t>
            </w:r>
            <w:r>
              <w:rPr>
                <w:rFonts w:hint="eastAsia" w:ascii="仿宋" w:hAnsi="仿宋" w:eastAsia="仿宋" w:cs="仿宋"/>
                <w:bCs/>
                <w:kern w:val="2"/>
                <w:sz w:val="24"/>
                <w:szCs w:val="24"/>
                <w:lang w:eastAsia="zh-CN" w:bidi="ar-SA"/>
              </w:rPr>
              <w:t>轨道交通设施保护监测初始值资料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5.</w:t>
            </w:r>
            <w:r>
              <w:rPr>
                <w:rFonts w:hint="eastAsia" w:ascii="仿宋" w:hAnsi="仿宋" w:eastAsia="仿宋" w:cs="仿宋"/>
                <w:bCs/>
                <w:kern w:val="2"/>
                <w:sz w:val="24"/>
                <w:szCs w:val="24"/>
                <w:lang w:eastAsia="zh-CN" w:bidi="ar-SA"/>
              </w:rPr>
              <w:t>施工安全保证金凭据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sz w:val="21"/>
                <w:szCs w:val="21"/>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6.</w:t>
            </w:r>
            <w:r>
              <w:rPr>
                <w:rFonts w:hint="eastAsia" w:ascii="仿宋" w:hAnsi="仿宋" w:eastAsia="仿宋" w:cs="仿宋"/>
                <w:bCs/>
                <w:kern w:val="2"/>
                <w:sz w:val="24"/>
                <w:szCs w:val="24"/>
                <w:lang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7" w:hRule="atLeast"/>
        </w:trPr>
        <w:tc>
          <w:tcPr>
            <w:tcW w:w="8939" w:type="dxa"/>
            <w:gridSpan w:val="4"/>
            <w:tcBorders>
              <w:bottom w:val="single" w:color="auto" w:sz="4" w:space="0"/>
            </w:tcBorders>
          </w:tcPr>
          <w:p>
            <w:pPr>
              <w:widowControl w:val="0"/>
              <w:spacing w:after="0" w:line="240" w:lineRule="auto"/>
              <w:ind w:right="264" w:rightChars="120"/>
              <w:jc w:val="both"/>
              <w:rPr>
                <w:rFonts w:ascii="宋体" w:hAnsi="宋体" w:cs="Times New Roman"/>
                <w:bCs/>
                <w:kern w:val="2"/>
                <w:sz w:val="28"/>
                <w:szCs w:val="28"/>
                <w:lang w:eastAsia="zh-CN" w:bidi="ar-SA"/>
              </w:rPr>
            </w:pPr>
            <w:r>
              <w:rPr>
                <w:rFonts w:hint="eastAsia" w:ascii="宋体" w:hAnsi="宋体" w:cs="Times New Roman"/>
                <w:bCs/>
                <w:kern w:val="2"/>
                <w:sz w:val="28"/>
                <w:szCs w:val="28"/>
                <w:lang w:eastAsia="zh-CN" w:bidi="ar-SA"/>
              </w:rPr>
              <w:t>审批意见：</w:t>
            </w: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firstLine="6405" w:firstLineChars="3050"/>
              <w:jc w:val="both"/>
              <w:rPr>
                <w:rFonts w:ascii="宋体" w:hAnsi="宋体" w:cs="Times New Roman"/>
                <w:bCs/>
                <w:kern w:val="2"/>
                <w:sz w:val="21"/>
                <w:szCs w:val="21"/>
                <w:lang w:eastAsia="zh-CN" w:bidi="ar-SA"/>
              </w:rPr>
            </w:pPr>
            <w:r>
              <w:rPr>
                <w:rFonts w:hint="eastAsia" w:ascii="宋体" w:hAnsi="宋体" w:cs="Times New Roman"/>
                <w:bCs/>
                <w:kern w:val="2"/>
                <w:sz w:val="21"/>
                <w:szCs w:val="21"/>
                <w:lang w:eastAsia="zh-CN" w:bidi="ar-SA"/>
              </w:rPr>
              <w:t xml:space="preserve">年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月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日</w:t>
            </w:r>
          </w:p>
          <w:p>
            <w:pPr>
              <w:widowControl w:val="0"/>
              <w:spacing w:after="0" w:line="240" w:lineRule="auto"/>
              <w:ind w:right="264" w:rightChars="120" w:firstLine="5985" w:firstLineChars="2850"/>
              <w:jc w:val="both"/>
              <w:rPr>
                <w:rFonts w:ascii="宋体" w:hAnsi="宋体" w:cs="Times New Roman"/>
                <w:bCs/>
                <w:kern w:val="2"/>
                <w:sz w:val="21"/>
                <w:szCs w:val="24"/>
                <w:lang w:eastAsia="zh-CN" w:bidi="ar-SA"/>
              </w:rPr>
            </w:pPr>
          </w:p>
        </w:tc>
      </w:tr>
    </w:tbl>
    <w:p>
      <w:pPr>
        <w:widowControl w:val="0"/>
        <w:jc w:val="both"/>
        <w:rPr>
          <w:rFonts w:ascii="仿宋_GB2312" w:hAnsi="宋体" w:eastAsia="仿宋_GB2312" w:cs="Times New Roman"/>
          <w:bCs/>
          <w:spacing w:val="-4"/>
          <w:kern w:val="2"/>
          <w:sz w:val="24"/>
          <w:szCs w:val="24"/>
          <w:lang w:eastAsia="zh-CN" w:bidi="ar-SA"/>
        </w:rPr>
      </w:pPr>
      <w:r>
        <w:rPr>
          <w:rFonts w:hint="eastAsia" w:ascii="仿宋_GB2312" w:hAnsi="宋体" w:eastAsia="仿宋_GB2312" w:cs="Times New Roman"/>
          <w:bCs/>
          <w:spacing w:val="-4"/>
          <w:kern w:val="2"/>
          <w:sz w:val="24"/>
          <w:szCs w:val="24"/>
          <w:lang w:eastAsia="zh-CN" w:bidi="ar-SA"/>
        </w:rPr>
        <w:t>注：1、详细审批意见可增加附页说明；2、本表一式二份。</w:t>
      </w:r>
    </w:p>
    <w:p>
      <w:pPr>
        <w:jc w:val="center"/>
        <w:rPr>
          <w:rFonts w:ascii="黑体" w:hAnsi="黑体" w:eastAsia="黑体" w:cs="Times New Roman"/>
          <w:spacing w:val="-4"/>
          <w:kern w:val="2"/>
          <w:sz w:val="40"/>
          <w:szCs w:val="40"/>
          <w:lang w:eastAsia="zh-CN" w:bidi="ar-SA"/>
        </w:rPr>
      </w:pPr>
      <w:r>
        <w:rPr>
          <w:rFonts w:hint="eastAsia" w:ascii="仿宋_GB2312" w:hAnsi="宋体" w:eastAsia="仿宋_GB2312" w:cs="Times New Roman"/>
          <w:bCs/>
          <w:spacing w:val="-4"/>
          <w:kern w:val="2"/>
          <w:sz w:val="24"/>
          <w:szCs w:val="24"/>
          <w:lang w:eastAsia="zh-CN" w:bidi="ar-SA"/>
        </w:rPr>
        <w:br w:type="page"/>
      </w:r>
      <w:bookmarkStart w:id="20" w:name="_Toc31613_WPSOffice_Level1"/>
      <w:bookmarkStart w:id="21" w:name="_Toc17846_WPSOffice_Level1"/>
      <w:bookmarkStart w:id="22" w:name="_Toc26381_WPSOffice_Level1"/>
      <w:bookmarkStart w:id="23" w:name="_Toc1653_WPSOffice_Level1"/>
      <w:bookmarkStart w:id="24" w:name="_Toc15825_WPSOffice_Level1"/>
      <w:r>
        <w:rPr>
          <w:rFonts w:hint="eastAsia" w:ascii="黑体" w:hAnsi="黑体" w:eastAsia="黑体" w:cs="Times New Roman"/>
          <w:spacing w:val="-4"/>
          <w:kern w:val="2"/>
          <w:sz w:val="40"/>
          <w:szCs w:val="40"/>
          <w:lang w:eastAsia="zh-CN" w:bidi="ar-SA"/>
        </w:rPr>
        <w:t>安全保证承诺书</w:t>
      </w:r>
      <w:bookmarkEnd w:id="20"/>
      <w:bookmarkEnd w:id="21"/>
      <w:bookmarkEnd w:id="22"/>
      <w:bookmarkEnd w:id="23"/>
      <w:bookmarkEnd w:id="24"/>
    </w:p>
    <w:p>
      <w:pPr>
        <w:widowControl w:val="0"/>
        <w:autoSpaceDN w:val="0"/>
        <w:spacing w:after="0" w:line="440" w:lineRule="exact"/>
        <w:rPr>
          <w:rFonts w:ascii="仿宋" w:hAnsi="仿宋" w:eastAsia="仿宋" w:cs="黑体"/>
          <w:kern w:val="2"/>
          <w:sz w:val="28"/>
          <w:szCs w:val="28"/>
          <w:lang w:eastAsia="zh-CN" w:bidi="ar-SA"/>
        </w:rPr>
      </w:pPr>
      <w:r>
        <w:rPr>
          <w:rFonts w:hint="eastAsia" w:ascii="仿宋" w:hAnsi="仿宋" w:eastAsia="仿宋" w:cs="黑体"/>
          <w:kern w:val="2"/>
          <w:sz w:val="28"/>
          <w:szCs w:val="28"/>
          <w:lang w:eastAsia="zh-CN" w:bidi="ar-SA"/>
        </w:rPr>
        <w:t>温州市铁路与轨道交通投资集团有限公司：</w:t>
      </w:r>
    </w:p>
    <w:p>
      <w:pPr>
        <w:widowControl w:val="0"/>
        <w:autoSpaceDN w:val="0"/>
        <w:spacing w:after="0" w:line="440" w:lineRule="exact"/>
        <w:ind w:firstLine="573"/>
        <w:rPr>
          <w:rFonts w:ascii="仿宋" w:hAnsi="仿宋" w:eastAsia="仿宋" w:cs="Times New Roman"/>
          <w:kern w:val="2"/>
          <w:sz w:val="28"/>
          <w:szCs w:val="24"/>
          <w:lang w:eastAsia="zh-CN" w:bidi="ar-SA"/>
        </w:rPr>
      </w:pPr>
      <w:r>
        <w:rPr>
          <w:rFonts w:hint="eastAsia" w:ascii="仿宋" w:hAnsi="仿宋" w:eastAsia="仿宋" w:cs="黑体"/>
          <w:kern w:val="2"/>
          <w:sz w:val="28"/>
          <w:szCs w:val="28"/>
          <w:lang w:eastAsia="zh-CN" w:bidi="ar-SA"/>
        </w:rPr>
        <w:t>我单位负责建设的</w:t>
      </w:r>
      <w:r>
        <w:rPr>
          <w:rFonts w:ascii="仿宋" w:hAnsi="仿宋" w:eastAsia="仿宋" w:cs="黑体"/>
          <w:kern w:val="2"/>
          <w:sz w:val="28"/>
          <w:szCs w:val="28"/>
          <w:u w:val="single"/>
          <w:lang w:eastAsia="zh-CN" w:bidi="ar-SA"/>
        </w:rPr>
        <w:t xml:space="preserve">                               </w:t>
      </w:r>
      <w:r>
        <w:rPr>
          <w:rFonts w:hint="eastAsia" w:ascii="仿宋" w:hAnsi="仿宋" w:eastAsia="仿宋" w:cs="Times New Roman"/>
          <w:kern w:val="2"/>
          <w:sz w:val="28"/>
          <w:szCs w:val="24"/>
          <w:lang w:eastAsia="zh-CN" w:bidi="ar-SA"/>
        </w:rPr>
        <w:t>项目位于温州轨道交通</w:t>
      </w:r>
      <w:r>
        <w:rPr>
          <w:rFonts w:hint="eastAsia"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lang w:eastAsia="zh-CN" w:bidi="ar-SA"/>
        </w:rPr>
        <w:t>线轨道交通保护区范围内，与轨道交通关系密切。根据《城市轨道交通运营管理规定（中华人民共和国交通运输部令2018年第8号）、《城市轨道交通结构安全保护技术规范》（CJJ/T202-2013）、《城市</w:t>
      </w:r>
      <w:r>
        <w:rPr>
          <w:rFonts w:ascii="仿宋" w:hAnsi="仿宋" w:eastAsia="仿宋" w:cs="Times New Roman"/>
          <w:kern w:val="2"/>
          <w:sz w:val="28"/>
          <w:szCs w:val="24"/>
          <w:lang w:eastAsia="zh-CN" w:bidi="ar-SA"/>
        </w:rPr>
        <w:t>轨道交通</w:t>
      </w:r>
      <w:r>
        <w:rPr>
          <w:rFonts w:hint="eastAsia" w:ascii="仿宋" w:hAnsi="仿宋" w:eastAsia="仿宋" w:cs="Times New Roman"/>
          <w:kern w:val="2"/>
          <w:sz w:val="28"/>
          <w:szCs w:val="24"/>
          <w:lang w:eastAsia="zh-CN" w:bidi="ar-SA"/>
        </w:rPr>
        <w:t>结构安全保护技术规程》（DB33/</w:t>
      </w:r>
      <w:r>
        <w:rPr>
          <w:rFonts w:ascii="仿宋" w:hAnsi="仿宋" w:eastAsia="仿宋" w:cs="Times New Roman"/>
          <w:kern w:val="2"/>
          <w:sz w:val="28"/>
          <w:szCs w:val="24"/>
          <w:lang w:eastAsia="zh-CN" w:bidi="ar-SA"/>
        </w:rPr>
        <w:t>T1139-2017</w:t>
      </w:r>
      <w:r>
        <w:rPr>
          <w:rFonts w:hint="eastAsia" w:ascii="仿宋" w:hAnsi="仿宋" w:eastAsia="仿宋" w:cs="Times New Roman"/>
          <w:kern w:val="2"/>
          <w:sz w:val="28"/>
          <w:szCs w:val="24"/>
          <w:lang w:eastAsia="zh-CN" w:bidi="ar-SA"/>
        </w:rPr>
        <w:t>）、《</w:t>
      </w:r>
      <w:r>
        <w:rPr>
          <w:rFonts w:ascii="仿宋" w:hAnsi="仿宋" w:eastAsia="仿宋" w:cs="Times New Roman"/>
          <w:kern w:val="2"/>
          <w:sz w:val="28"/>
          <w:szCs w:val="24"/>
          <w:lang w:eastAsia="zh-CN" w:bidi="ar-SA"/>
        </w:rPr>
        <w:t>温州市城市轨道交通管理办法</w:t>
      </w:r>
      <w:r>
        <w:rPr>
          <w:rFonts w:hint="eastAsia" w:ascii="仿宋" w:hAnsi="仿宋" w:eastAsia="仿宋" w:cs="Times New Roman"/>
          <w:kern w:val="2"/>
          <w:sz w:val="28"/>
          <w:szCs w:val="24"/>
          <w:lang w:eastAsia="zh-CN" w:bidi="ar-SA"/>
        </w:rPr>
        <w:t>（试行）》（温州市人民政府令第</w:t>
      </w:r>
      <w:r>
        <w:rPr>
          <w:rFonts w:ascii="仿宋" w:hAnsi="仿宋" w:eastAsia="仿宋" w:cs="Times New Roman"/>
          <w:kern w:val="2"/>
          <w:sz w:val="28"/>
          <w:szCs w:val="24"/>
          <w:lang w:eastAsia="zh-CN" w:bidi="ar-SA"/>
        </w:rPr>
        <w:t>3</w:t>
      </w:r>
      <w:r>
        <w:rPr>
          <w:rFonts w:hint="eastAsia" w:ascii="仿宋" w:hAnsi="仿宋" w:eastAsia="仿宋" w:cs="Times New Roman"/>
          <w:kern w:val="2"/>
          <w:sz w:val="28"/>
          <w:szCs w:val="24"/>
          <w:lang w:eastAsia="zh-CN" w:bidi="ar-SA"/>
        </w:rPr>
        <w:t>号），我单位愿意接受温州市铁路与轨道交通投资集团有限公司的管理、监督和检查，现承诺如下：</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认可并执行温州市铁路与轨道交通投资集团的轨道交通保护区管理制度，在施工过程中，严格按照经审核的技术方案实施，并采取有效措施确保施工不会对城市轨道交通设施与运营安全构成不利影响。</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在实施过程中，接受温州市铁路与轨道交通投资集团的监管，及时对监管发现的施工安全隐患进行整改。</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我单位组织对施工项目竣工验收或影响轨道交通的分部工程验收时，将增加施工对城市轨道交通设施与运营安全影响的验收内容。如因我单位施工造成轨道交通设施及运营损害的，我单位将全额赔偿，恢复既有功能，并服从温州市铁路与轨道交通投资集团的修复管理。</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我单位清楚和理解，</w:t>
      </w:r>
      <w:bookmarkStart w:id="25" w:name="_Hlk118853490"/>
      <w:r>
        <w:rPr>
          <w:rFonts w:hint="eastAsia" w:ascii="仿宋" w:hAnsi="仿宋" w:eastAsia="仿宋" w:cs="Times New Roman"/>
          <w:kern w:val="2"/>
          <w:sz w:val="28"/>
          <w:szCs w:val="24"/>
          <w:lang w:eastAsia="zh-CN" w:bidi="ar-SA"/>
        </w:rPr>
        <w:t>温州市铁路与轨道交通投资集团有限公司对我单位提交的设计方案、施工方案、监测方案的技术审核，不减免我单位及我单位委托的各技术责任单位的法律责任</w:t>
      </w:r>
      <w:bookmarkEnd w:id="25"/>
      <w:r>
        <w:rPr>
          <w:rFonts w:hint="eastAsia" w:ascii="仿宋" w:hAnsi="仿宋" w:eastAsia="仿宋" w:cs="Times New Roman"/>
          <w:kern w:val="2"/>
          <w:sz w:val="28"/>
          <w:szCs w:val="24"/>
          <w:lang w:eastAsia="zh-CN" w:bidi="ar-SA"/>
        </w:rPr>
        <w:t>。</w:t>
      </w:r>
    </w:p>
    <w:p>
      <w:pPr>
        <w:widowControl w:val="0"/>
        <w:tabs>
          <w:tab w:val="left" w:pos="556"/>
        </w:tabs>
        <w:spacing w:after="0" w:line="400" w:lineRule="exact"/>
        <w:ind w:firstLine="574" w:firstLineChars="205"/>
        <w:jc w:val="both"/>
        <w:rPr>
          <w:rFonts w:ascii="仿宋" w:hAnsi="仿宋" w:eastAsia="仿宋" w:cs="Times New Roman"/>
          <w:kern w:val="2"/>
          <w:sz w:val="28"/>
          <w:szCs w:val="24"/>
          <w:lang w:eastAsia="zh-CN" w:bidi="ar-SA"/>
        </w:rPr>
      </w:pPr>
    </w:p>
    <w:p>
      <w:pPr>
        <w:widowControl w:val="0"/>
        <w:tabs>
          <w:tab w:val="left" w:pos="556"/>
        </w:tabs>
        <w:spacing w:after="0" w:line="40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建设单位：</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lang w:eastAsia="zh-CN" w:bidi="ar-SA"/>
        </w:rPr>
        <w:t>（盖章）</w:t>
      </w:r>
    </w:p>
    <w:p>
      <w:pPr>
        <w:widowControl w:val="0"/>
        <w:tabs>
          <w:tab w:val="left" w:pos="556"/>
        </w:tabs>
        <w:spacing w:after="0" w:line="40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法定代表人/项目负责人：</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黑体"/>
          <w:kern w:val="2"/>
          <w:sz w:val="28"/>
          <w:szCs w:val="28"/>
          <w:u w:val="single"/>
          <w:lang w:eastAsia="zh-CN" w:bidi="ar-SA"/>
        </w:rPr>
        <w:t xml:space="preserve">   </w:t>
      </w:r>
      <w:r>
        <w:rPr>
          <w:rFonts w:ascii="仿宋" w:hAnsi="仿宋" w:eastAsia="仿宋" w:cs="黑体"/>
          <w:kern w:val="2"/>
          <w:sz w:val="28"/>
          <w:szCs w:val="28"/>
          <w:u w:val="single"/>
          <w:lang w:eastAsia="zh-CN" w:bidi="ar-SA"/>
        </w:rPr>
        <w:t xml:space="preserve">  </w:t>
      </w:r>
      <w:r>
        <w:rPr>
          <w:rFonts w:hint="eastAsia" w:ascii="仿宋" w:hAnsi="仿宋" w:eastAsia="仿宋" w:cs="黑体"/>
          <w:kern w:val="2"/>
          <w:sz w:val="28"/>
          <w:szCs w:val="28"/>
          <w:lang w:eastAsia="zh-CN" w:bidi="ar-SA"/>
        </w:rPr>
        <w:t>（签字）</w:t>
      </w:r>
    </w:p>
    <w:p>
      <w:pPr>
        <w:widowControl w:val="0"/>
        <w:tabs>
          <w:tab w:val="left" w:pos="556"/>
        </w:tabs>
        <w:spacing w:after="0" w:line="42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年  月  日</w:t>
      </w:r>
    </w:p>
    <w:p>
      <w:pPr>
        <w:widowControl w:val="0"/>
        <w:tabs>
          <w:tab w:val="left" w:pos="556"/>
        </w:tabs>
        <w:spacing w:after="0" w:line="420" w:lineRule="exact"/>
        <w:ind w:firstLine="557" w:firstLineChars="205"/>
        <w:jc w:val="right"/>
        <w:rPr>
          <w:rFonts w:ascii="仿宋_GB2312" w:hAnsi="仿宋" w:eastAsia="仿宋_GB2312" w:cs="Times New Roman"/>
          <w:spacing w:val="-4"/>
          <w:kern w:val="2"/>
          <w:sz w:val="28"/>
          <w:szCs w:val="28"/>
          <w:lang w:eastAsia="zh-CN" w:bidi="ar-SA"/>
        </w:rPr>
      </w:pPr>
    </w:p>
    <w:p>
      <w:pPr>
        <w:widowControl w:val="0"/>
        <w:spacing w:before="156" w:beforeLines="50" w:after="312" w:afterLines="100" w:line="240" w:lineRule="auto"/>
        <w:rPr>
          <w:rFonts w:ascii="黑体" w:hAnsi="黑体" w:eastAsia="黑体" w:cs="Times New Roman"/>
          <w:spacing w:val="-4"/>
          <w:kern w:val="2"/>
          <w:sz w:val="32"/>
          <w:szCs w:val="32"/>
          <w:lang w:eastAsia="zh-CN" w:bidi="ar-SA"/>
        </w:rPr>
      </w:pPr>
    </w:p>
    <w:p>
      <w:pPr>
        <w:rPr>
          <w:rFonts w:ascii="方正小标宋简体" w:hAnsi="宋体" w:eastAsia="方正小标宋简体"/>
          <w:sz w:val="44"/>
          <w:szCs w:val="44"/>
          <w:lang w:eastAsia="zh-CN"/>
        </w:rPr>
        <w:sectPr>
          <w:footerReference r:id="rId5" w:type="default"/>
          <w:pgSz w:w="11906" w:h="16838"/>
          <w:pgMar w:top="1803" w:right="1440" w:bottom="1803" w:left="1440" w:header="851" w:footer="992" w:gutter="0"/>
          <w:pgNumType w:fmt="numberInDash" w:start="1"/>
          <w:cols w:space="720" w:num="1"/>
          <w:docGrid w:type="lines" w:linePitch="312" w:charSpace="0"/>
        </w:sectPr>
      </w:pPr>
    </w:p>
    <w:p>
      <w:pPr>
        <w:widowControl w:val="0"/>
        <w:spacing w:after="0" w:line="240" w:lineRule="auto"/>
        <w:jc w:val="center"/>
        <w:outlineLvl w:val="0"/>
        <w:rPr>
          <w:rFonts w:ascii="黑体" w:hAnsi="黑体" w:eastAsia="黑体" w:cs="Times New Roman"/>
          <w:spacing w:val="-4"/>
          <w:kern w:val="2"/>
          <w:sz w:val="32"/>
          <w:szCs w:val="32"/>
          <w:lang w:eastAsia="zh-CN" w:bidi="ar-SA"/>
        </w:rPr>
      </w:pPr>
      <w:bookmarkStart w:id="26" w:name="_Toc18047_WPSOffice_Level1"/>
      <w:bookmarkStart w:id="27" w:name="_Toc13126_WPSOffice_Level1"/>
      <w:bookmarkStart w:id="28" w:name="_Toc27609_WPSOffice_Level1"/>
      <w:bookmarkStart w:id="29" w:name="_Toc6059_WPSOffice_Level1"/>
      <w:bookmarkStart w:id="30" w:name="_Toc14450_WPSOffice_Level1"/>
      <w:r>
        <w:rPr>
          <w:rFonts w:hint="eastAsia" w:ascii="黑体" w:hAnsi="黑体" w:eastAsia="黑体" w:cs="Times New Roman"/>
          <w:spacing w:val="-4"/>
          <w:kern w:val="2"/>
          <w:sz w:val="32"/>
          <w:szCs w:val="32"/>
          <w:lang w:eastAsia="zh-CN" w:bidi="ar-SA"/>
        </w:rPr>
        <w:t>温州市轨道交通保护区施工作业</w:t>
      </w:r>
      <w:bookmarkEnd w:id="26"/>
      <w:bookmarkEnd w:id="27"/>
      <w:bookmarkStart w:id="31" w:name="_Toc286_WPSOffice_Level1"/>
      <w:bookmarkStart w:id="32" w:name="_Toc946_WPSOffice_Level1"/>
      <w:r>
        <w:rPr>
          <w:rFonts w:hint="eastAsia" w:ascii="黑体" w:hAnsi="黑体" w:eastAsia="黑体" w:cs="Times New Roman"/>
          <w:spacing w:val="-4"/>
          <w:kern w:val="2"/>
          <w:sz w:val="32"/>
          <w:szCs w:val="32"/>
          <w:lang w:eastAsia="zh-CN" w:bidi="ar-SA"/>
        </w:rPr>
        <w:t>安全协</w:t>
      </w:r>
      <w:bookmarkEnd w:id="28"/>
      <w:bookmarkEnd w:id="29"/>
      <w:r>
        <w:rPr>
          <w:rFonts w:hint="eastAsia" w:ascii="黑体" w:hAnsi="黑体" w:eastAsia="黑体" w:cs="Times New Roman"/>
          <w:spacing w:val="-4"/>
          <w:kern w:val="2"/>
          <w:sz w:val="32"/>
          <w:szCs w:val="32"/>
          <w:lang w:eastAsia="zh-CN" w:bidi="ar-SA"/>
        </w:rPr>
        <w:t>议书</w:t>
      </w:r>
      <w:bookmarkEnd w:id="30"/>
      <w:bookmarkEnd w:id="31"/>
      <w:bookmarkEnd w:id="32"/>
    </w:p>
    <w:p>
      <w:pPr>
        <w:widowControl w:val="0"/>
        <w:spacing w:after="0" w:line="440" w:lineRule="exact"/>
        <w:jc w:val="center"/>
        <w:rPr>
          <w:rFonts w:ascii="仿宋_GB2312" w:hAnsi="仿宋" w:eastAsia="仿宋_GB2312" w:cs="仿宋"/>
          <w:bCs/>
          <w:spacing w:val="-4"/>
          <w:kern w:val="2"/>
          <w:sz w:val="28"/>
          <w:szCs w:val="28"/>
          <w:lang w:eastAsia="zh-CN" w:bidi="ar-SA"/>
        </w:rPr>
      </w:pPr>
      <w:bookmarkStart w:id="33" w:name="_Toc11334_WPSOffice_Level1"/>
      <w:bookmarkStart w:id="34" w:name="_Toc12088_WPSOffice_Level1"/>
      <w:bookmarkStart w:id="35" w:name="_Toc11639_WPSOffice_Level1"/>
      <w:bookmarkStart w:id="36" w:name="_Toc5415_WPSOffice_Level1"/>
      <w:bookmarkStart w:id="37" w:name="_Toc10389_WPSOffice_Level1"/>
      <w:bookmarkStart w:id="38" w:name="_Toc6834_WPSOffice_Level1"/>
      <w:r>
        <w:rPr>
          <w:rFonts w:hint="eastAsia" w:ascii="仿宋_GB2312" w:hAnsi="仿宋" w:eastAsia="仿宋_GB2312"/>
          <w:bCs/>
          <w:spacing w:val="-4"/>
          <w:kern w:val="2"/>
          <w:sz w:val="28"/>
          <w:szCs w:val="28"/>
          <w:lang w:eastAsia="zh-CN" w:bidi="ar-SA"/>
        </w:rPr>
        <w:t>温铁投轨保协字〔2</w:t>
      </w:r>
      <w:r>
        <w:rPr>
          <w:rFonts w:ascii="仿宋_GB2312" w:hAnsi="仿宋" w:eastAsia="仿宋_GB2312"/>
          <w:bCs/>
          <w:spacing w:val="-4"/>
          <w:kern w:val="2"/>
          <w:sz w:val="28"/>
          <w:szCs w:val="28"/>
          <w:lang w:eastAsia="zh-CN" w:bidi="ar-SA"/>
        </w:rPr>
        <w:t>0</w:t>
      </w:r>
      <w:r>
        <w:rPr>
          <w:rFonts w:hint="eastAsia" w:ascii="仿宋_GB2312" w:hAnsi="仿宋" w:eastAsia="仿宋_GB2312"/>
          <w:bCs/>
          <w:spacing w:val="-4"/>
          <w:kern w:val="2"/>
          <w:sz w:val="28"/>
          <w:szCs w:val="28"/>
          <w:lang w:eastAsia="zh-CN" w:bidi="ar-SA"/>
        </w:rPr>
        <w:t>XX〕</w:t>
      </w:r>
      <w:r>
        <w:rPr>
          <w:rFonts w:hint="eastAsia" w:ascii="仿宋_GB2312" w:hAnsi="仿宋" w:eastAsia="仿宋_GB2312" w:cs="仿宋"/>
          <w:bCs/>
          <w:spacing w:val="-4"/>
          <w:kern w:val="2"/>
          <w:sz w:val="28"/>
          <w:szCs w:val="28"/>
          <w:lang w:eastAsia="zh-CN" w:bidi="ar-SA"/>
        </w:rPr>
        <w:t>XXX</w:t>
      </w:r>
      <w:r>
        <w:rPr>
          <w:rFonts w:hint="eastAsia" w:ascii="仿宋_GB2312" w:hAnsi="仿宋" w:eastAsia="仿宋_GB2312"/>
          <w:bCs/>
          <w:spacing w:val="-4"/>
          <w:kern w:val="2"/>
          <w:sz w:val="28"/>
          <w:szCs w:val="28"/>
          <w:lang w:eastAsia="zh-CN" w:bidi="ar-SA"/>
        </w:rPr>
        <w:t>号</w:t>
      </w:r>
      <w:bookmarkEnd w:id="33"/>
      <w:bookmarkEnd w:id="34"/>
      <w:bookmarkEnd w:id="35"/>
      <w:bookmarkEnd w:id="36"/>
      <w:bookmarkEnd w:id="37"/>
      <w:bookmarkEnd w:id="38"/>
    </w:p>
    <w:p>
      <w:pPr>
        <w:widowControl w:val="0"/>
        <w:spacing w:after="0" w:line="440" w:lineRule="exact"/>
        <w:jc w:val="both"/>
        <w:rPr>
          <w:rFonts w:ascii="仿宋_GB2312" w:hAnsi="宋体" w:eastAsia="仿宋_GB2312" w:cs="仿宋"/>
          <w:bCs/>
          <w:spacing w:val="-4"/>
          <w:kern w:val="2"/>
          <w:sz w:val="28"/>
          <w:szCs w:val="28"/>
          <w:lang w:eastAsia="zh-CN" w:bidi="ar-SA"/>
        </w:rPr>
      </w:pPr>
    </w:p>
    <w:p>
      <w:pPr>
        <w:widowControl w:val="0"/>
        <w:spacing w:after="0" w:line="480" w:lineRule="exact"/>
        <w:rPr>
          <w:rFonts w:ascii="仿宋_GB2312" w:hAnsi="仿宋" w:eastAsia="仿宋_GB2312" w:cs="仿宋"/>
          <w:spacing w:val="-4"/>
          <w:kern w:val="2"/>
          <w:sz w:val="28"/>
          <w:szCs w:val="28"/>
          <w:lang w:eastAsia="zh-CN" w:bidi="ar-SA"/>
        </w:rPr>
      </w:pPr>
      <w:r>
        <w:rPr>
          <w:rFonts w:hint="eastAsia" w:ascii="仿宋_GB2312" w:hAnsi="仿宋" w:eastAsia="仿宋_GB2312"/>
          <w:spacing w:val="-4"/>
          <w:kern w:val="2"/>
          <w:sz w:val="28"/>
          <w:szCs w:val="28"/>
          <w:lang w:eastAsia="zh-CN" w:bidi="ar-SA"/>
        </w:rPr>
        <w:t>甲方：温州市铁路与轨道交通投资集团有限公司X</w:t>
      </w:r>
      <w:r>
        <w:rPr>
          <w:rFonts w:ascii="仿宋_GB2312" w:hAnsi="仿宋" w:eastAsia="仿宋_GB2312"/>
          <w:spacing w:val="-4"/>
          <w:kern w:val="2"/>
          <w:sz w:val="28"/>
          <w:szCs w:val="28"/>
          <w:lang w:eastAsia="zh-CN" w:bidi="ar-SA"/>
        </w:rPr>
        <w:t>X</w:t>
      </w:r>
      <w:r>
        <w:rPr>
          <w:rFonts w:hint="eastAsia" w:ascii="仿宋_GB2312" w:hAnsi="仿宋" w:eastAsia="仿宋_GB2312"/>
          <w:spacing w:val="-4"/>
          <w:kern w:val="2"/>
          <w:sz w:val="28"/>
          <w:szCs w:val="28"/>
          <w:lang w:eastAsia="zh-CN" w:bidi="ar-SA"/>
        </w:rPr>
        <w:t>分公司（以下简称甲方）</w:t>
      </w:r>
    </w:p>
    <w:p>
      <w:pPr>
        <w:widowControl w:val="0"/>
        <w:spacing w:after="0" w:line="480" w:lineRule="exact"/>
        <w:rPr>
          <w:rFonts w:ascii="仿宋_GB2312" w:hAnsi="宋体" w:eastAsia="仿宋_GB2312" w:cs="Times New Roman"/>
          <w:kern w:val="2"/>
          <w:sz w:val="24"/>
          <w:szCs w:val="24"/>
          <w:lang w:eastAsia="zh-CN" w:bidi="ar-SA"/>
        </w:rPr>
      </w:pPr>
      <w:r>
        <w:rPr>
          <w:rFonts w:hint="eastAsia" w:ascii="仿宋_GB2312" w:hAnsi="仿宋" w:eastAsia="仿宋_GB2312" w:cs="仿宋"/>
          <w:spacing w:val="-4"/>
          <w:kern w:val="2"/>
          <w:sz w:val="28"/>
          <w:szCs w:val="28"/>
          <w:lang w:eastAsia="zh-CN" w:bidi="ar-SA"/>
        </w:rPr>
        <w:t>乙方</w:t>
      </w:r>
      <w:r>
        <w:rPr>
          <w:rFonts w:hint="eastAsia" w:ascii="仿宋_GB2312" w:hAnsi="仿宋" w:eastAsia="仿宋_GB2312"/>
          <w:spacing w:val="-4"/>
          <w:kern w:val="2"/>
          <w:sz w:val="28"/>
          <w:szCs w:val="28"/>
          <w:lang w:eastAsia="zh-CN" w:bidi="ar-SA"/>
        </w:rPr>
        <w:t>：申请人建设单位名称</w:t>
      </w:r>
      <w:r>
        <w:rPr>
          <w:rFonts w:hint="eastAsia" w:ascii="仿宋" w:hAnsi="仿宋" w:eastAsia="仿宋" w:cs="仿宋"/>
          <w:kern w:val="2"/>
          <w:sz w:val="28"/>
          <w:szCs w:val="28"/>
          <w:lang w:eastAsia="zh-CN" w:bidi="ar-SA"/>
        </w:rPr>
        <w:t xml:space="preserve">              </w:t>
      </w:r>
      <w:r>
        <w:rPr>
          <w:rFonts w:hint="eastAsia" w:ascii="仿宋_GB2312" w:hAnsi="仿宋" w:eastAsia="仿宋_GB2312"/>
          <w:spacing w:val="-4"/>
          <w:kern w:val="2"/>
          <w:sz w:val="28"/>
          <w:szCs w:val="28"/>
          <w:lang w:eastAsia="zh-CN" w:bidi="ar-SA"/>
        </w:rPr>
        <w:t>（以下简称乙方）</w:t>
      </w:r>
    </w:p>
    <w:p>
      <w:pPr>
        <w:widowControl w:val="0"/>
        <w:spacing w:after="0" w:line="480" w:lineRule="exact"/>
        <w:jc w:val="both"/>
        <w:rPr>
          <w:rFonts w:ascii="仿宋_GB2312" w:hAnsi="宋体" w:eastAsia="仿宋_GB2312" w:cs="仿宋"/>
          <w:spacing w:val="-4"/>
          <w:kern w:val="2"/>
          <w:sz w:val="28"/>
          <w:szCs w:val="28"/>
          <w:lang w:eastAsia="zh-CN" w:bidi="ar-SA"/>
        </w:rPr>
      </w:pP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为确保轨道交通XX线相关结构设施安全，明确双方责任、权利和义务等，根据《安全生产法》、《城市轨道交通结构安全保</w:t>
      </w:r>
      <w:r>
        <w:rPr>
          <w:rFonts w:hint="eastAsia" w:ascii="仿宋_GB2312" w:hAnsi="宋体" w:eastAsia="仿宋_GB2312" w:cs="Times New Roman"/>
          <w:spacing w:val="-4"/>
          <w:sz w:val="28"/>
          <w:szCs w:val="28"/>
          <w:lang w:eastAsia="zh-CN" w:bidi="ar-SA"/>
        </w:rPr>
        <w:t>护技术规范》、《温州市城市轨道交通管理办法（试行）》、《温州市铁路与轨道交通投资集团轨道交通保护区管理办法》等有关规定，经双方协商，签订本协</w:t>
      </w:r>
      <w:r>
        <w:rPr>
          <w:rFonts w:hint="eastAsia" w:ascii="仿宋_GB2312" w:hAnsi="仿宋" w:eastAsia="仿宋_GB2312" w:cs="Times New Roman"/>
          <w:spacing w:val="-4"/>
          <w:sz w:val="28"/>
          <w:szCs w:val="28"/>
          <w:lang w:eastAsia="zh-CN" w:bidi="ar-SA"/>
        </w:rPr>
        <w:t>议。</w:t>
      </w:r>
    </w:p>
    <w:p>
      <w:pPr>
        <w:widowControl w:val="0"/>
        <w:spacing w:after="0" w:line="480" w:lineRule="exact"/>
        <w:ind w:firstLine="546" w:firstLineChars="200"/>
        <w:jc w:val="both"/>
        <w:rPr>
          <w:rFonts w:ascii="仿宋_GB2312" w:hAnsi="仿宋" w:eastAsia="仿宋_GB2312" w:cs="Times New Roman"/>
          <w:spacing w:val="-4"/>
          <w:sz w:val="28"/>
          <w:szCs w:val="28"/>
          <w:lang w:eastAsia="zh-CN" w:bidi="ar-SA"/>
        </w:rPr>
      </w:pPr>
      <w:bookmarkStart w:id="39" w:name="_Toc10966_WPSOffice_Level1"/>
      <w:bookmarkStart w:id="40" w:name="_Toc11310_WPSOffice_Level1"/>
      <w:bookmarkStart w:id="41" w:name="_Toc19743_WPSOffice_Level1"/>
      <w:bookmarkStart w:id="42" w:name="_Toc24593_WPSOffice_Level1"/>
      <w:bookmarkStart w:id="43" w:name="_Toc13220_WPSOffice_Level1"/>
      <w:bookmarkStart w:id="44" w:name="_Toc31417_WPSOffice_Level1"/>
      <w:r>
        <w:rPr>
          <w:rFonts w:hint="eastAsia" w:ascii="仿宋_GB2312" w:hAnsi="仿宋" w:eastAsia="仿宋_GB2312" w:cs="Times New Roman"/>
          <w:b/>
          <w:spacing w:val="-4"/>
          <w:sz w:val="28"/>
          <w:szCs w:val="28"/>
          <w:lang w:eastAsia="zh-CN" w:bidi="ar-SA"/>
        </w:rPr>
        <w:t>一、施工作业项目内容</w:t>
      </w:r>
      <w:bookmarkEnd w:id="39"/>
      <w:bookmarkEnd w:id="40"/>
      <w:bookmarkEnd w:id="41"/>
      <w:bookmarkEnd w:id="42"/>
      <w:bookmarkEnd w:id="43"/>
      <w:bookmarkEnd w:id="44"/>
      <w:r>
        <w:rPr>
          <w:rFonts w:ascii="仿宋_GB2312" w:hAnsi="仿宋" w:eastAsia="仿宋_GB2312" w:cs="Times New Roman"/>
          <w:b/>
          <w:spacing w:val="-4"/>
          <w:sz w:val="28"/>
          <w:szCs w:val="28"/>
          <w:lang w:eastAsia="zh-CN" w:bidi="ar-SA"/>
        </w:rPr>
        <w:t xml:space="preserve">  </w:t>
      </w:r>
    </w:p>
    <w:p>
      <w:pPr>
        <w:widowControl w:val="0"/>
        <w:spacing w:after="0" w:line="480" w:lineRule="exact"/>
        <w:ind w:firstLine="544" w:firstLineChars="200"/>
        <w:jc w:val="both"/>
        <w:rPr>
          <w:rFonts w:ascii="仿宋" w:hAnsi="仿宋" w:eastAsia="仿宋" w:cs="仿宋"/>
          <w:bCs/>
          <w:kern w:val="2"/>
          <w:sz w:val="28"/>
          <w:szCs w:val="28"/>
          <w:lang w:eastAsia="zh-CN" w:bidi="ar-SA"/>
        </w:rPr>
      </w:pPr>
      <w:r>
        <w:rPr>
          <w:rFonts w:hint="eastAsia" w:ascii="仿宋_GB2312" w:hAnsi="仿宋" w:eastAsia="仿宋_GB2312" w:cs="Times New Roman"/>
          <w:spacing w:val="-4"/>
          <w:sz w:val="28"/>
          <w:szCs w:val="28"/>
          <w:lang w:eastAsia="zh-CN" w:bidi="ar-SA"/>
        </w:rPr>
        <w:t>1.1  项目</w:t>
      </w:r>
      <w:r>
        <w:rPr>
          <w:rFonts w:ascii="仿宋_GB2312" w:hAnsi="仿宋" w:eastAsia="仿宋_GB2312" w:cs="Times New Roman"/>
          <w:spacing w:val="-4"/>
          <w:sz w:val="28"/>
          <w:szCs w:val="28"/>
          <w:lang w:eastAsia="zh-CN" w:bidi="ar-SA"/>
        </w:rPr>
        <w:t>名称</w:t>
      </w:r>
      <w:r>
        <w:rPr>
          <w:rFonts w:hint="eastAsia" w:ascii="仿宋_GB2312" w:hAnsi="仿宋" w:eastAsia="仿宋_GB2312" w:cs="Times New Roman"/>
          <w:spacing w:val="-4"/>
          <w:sz w:val="28"/>
          <w:szCs w:val="28"/>
          <w:lang w:eastAsia="zh-CN" w:bidi="ar-SA"/>
        </w:rPr>
        <w:t>：</w:t>
      </w:r>
      <w:r>
        <w:rPr>
          <w:rFonts w:hint="eastAsia" w:ascii="仿宋" w:hAnsi="仿宋" w:eastAsia="仿宋" w:cs="仿宋"/>
          <w:bCs/>
          <w:kern w:val="2"/>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1.2  项目位置：XXX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 xml:space="preserve">1.3  </w:t>
      </w:r>
      <w:r>
        <w:rPr>
          <w:rFonts w:hint="eastAsia" w:ascii="仿宋_GB2312" w:hAnsi="仿宋" w:eastAsia="仿宋_GB2312" w:cs="Times New Roman"/>
          <w:spacing w:val="-4"/>
          <w:sz w:val="28"/>
          <w:szCs w:val="28"/>
          <w:lang w:eastAsia="zh-CN" w:bidi="ar-SA"/>
        </w:rPr>
        <w:t>作业</w:t>
      </w:r>
      <w:r>
        <w:rPr>
          <w:rFonts w:ascii="仿宋_GB2312" w:hAnsi="仿宋" w:eastAsia="仿宋_GB2312" w:cs="Times New Roman"/>
          <w:spacing w:val="-4"/>
          <w:sz w:val="28"/>
          <w:szCs w:val="28"/>
          <w:lang w:eastAsia="zh-CN" w:bidi="ar-SA"/>
        </w:rPr>
        <w:t>内容：</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1.4  监测项目：XXX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1.5  轨道交通结构安全影响等级：</w:t>
      </w:r>
      <w:r>
        <w:rPr>
          <w:rFonts w:hint="eastAsia" w:ascii="仿宋_GB2312" w:hAnsi="仿宋" w:eastAsia="仿宋_GB2312" w:cs="Times New Roman"/>
          <w:spacing w:val="-4"/>
          <w:sz w:val="28"/>
          <w:szCs w:val="28"/>
          <w:lang w:eastAsia="zh-CN" w:bidi="ar-SA"/>
        </w:rPr>
        <w:sym w:font="Wingdings 2" w:char="00A3"/>
      </w:r>
      <w:r>
        <w:rPr>
          <w:rFonts w:hint="eastAsia" w:ascii="仿宋_GB2312" w:hAnsi="仿宋" w:eastAsia="仿宋_GB2312" w:cs="Times New Roman"/>
          <w:spacing w:val="-4"/>
          <w:sz w:val="28"/>
          <w:szCs w:val="28"/>
          <w:lang w:eastAsia="zh-CN" w:bidi="ar-SA"/>
        </w:rPr>
        <w:t xml:space="preserve">特级  □一级  </w:t>
      </w:r>
    </w:p>
    <w:p>
      <w:pPr>
        <w:widowControl w:val="0"/>
        <w:spacing w:after="0" w:line="480" w:lineRule="exact"/>
        <w:ind w:firstLine="546" w:firstLineChars="200"/>
        <w:jc w:val="both"/>
        <w:rPr>
          <w:rFonts w:ascii="仿宋_GB2312" w:hAnsi="仿宋" w:eastAsia="仿宋_GB2312" w:cs="Times New Roman"/>
          <w:spacing w:val="-4"/>
          <w:sz w:val="28"/>
          <w:szCs w:val="28"/>
          <w:lang w:eastAsia="zh-CN" w:bidi="ar-SA"/>
        </w:rPr>
      </w:pPr>
      <w:bookmarkStart w:id="45" w:name="_Toc14698_WPSOffice_Level1"/>
      <w:bookmarkStart w:id="46" w:name="_Toc10860_WPSOffice_Level1"/>
      <w:bookmarkStart w:id="47" w:name="_Toc23839_WPSOffice_Level1"/>
      <w:bookmarkStart w:id="48" w:name="_Toc15676_WPSOffice_Level1"/>
      <w:bookmarkStart w:id="49" w:name="_Toc26885_WPSOffice_Level1"/>
      <w:bookmarkStart w:id="50" w:name="_Toc12779_WPSOffice_Level1"/>
      <w:r>
        <w:rPr>
          <w:rFonts w:hint="eastAsia" w:ascii="仿宋_GB2312" w:hAnsi="仿宋" w:eastAsia="仿宋_GB2312" w:cs="Times New Roman"/>
          <w:b/>
          <w:spacing w:val="-4"/>
          <w:sz w:val="28"/>
          <w:szCs w:val="28"/>
          <w:lang w:eastAsia="zh-CN" w:bidi="ar-SA"/>
        </w:rPr>
        <w:t>二、施工影响区域和周期</w:t>
      </w:r>
      <w:bookmarkEnd w:id="45"/>
      <w:bookmarkEnd w:id="46"/>
      <w:bookmarkEnd w:id="47"/>
      <w:bookmarkEnd w:id="48"/>
      <w:bookmarkEnd w:id="49"/>
      <w:bookmarkEnd w:id="50"/>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2.1  温州市域铁路XX线里程DKXX+XXX～DKXX+XXX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2.2  工程周期：XX年XX月XX日</w:t>
      </w:r>
      <w:r>
        <w:rPr>
          <w:rFonts w:ascii="仿宋_GB2312" w:hAnsi="仿宋" w:eastAsia="仿宋_GB2312" w:cs="Times New Roman"/>
          <w:spacing w:val="-4"/>
          <w:sz w:val="28"/>
          <w:szCs w:val="28"/>
          <w:lang w:eastAsia="zh-CN" w:bidi="ar-SA"/>
        </w:rPr>
        <w:t>至</w:t>
      </w:r>
      <w:r>
        <w:rPr>
          <w:rFonts w:hint="eastAsia" w:ascii="仿宋_GB2312" w:hAnsi="仿宋" w:eastAsia="仿宋_GB2312" w:cs="Times New Roman"/>
          <w:spacing w:val="-4"/>
          <w:sz w:val="28"/>
          <w:szCs w:val="28"/>
          <w:lang w:eastAsia="zh-CN" w:bidi="ar-SA"/>
        </w:rPr>
        <w:t>XX年XX月XX日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2.3  轨道保护监管周期：XX年XX月XX日</w:t>
      </w:r>
      <w:r>
        <w:rPr>
          <w:rFonts w:ascii="仿宋_GB2312" w:hAnsi="仿宋" w:eastAsia="仿宋_GB2312" w:cs="Times New Roman"/>
          <w:spacing w:val="-4"/>
          <w:sz w:val="28"/>
          <w:szCs w:val="28"/>
          <w:lang w:eastAsia="zh-CN" w:bidi="ar-SA"/>
        </w:rPr>
        <w:t>至</w:t>
      </w:r>
      <w:r>
        <w:rPr>
          <w:rFonts w:hint="eastAsia" w:ascii="仿宋_GB2312" w:hAnsi="仿宋" w:eastAsia="仿宋_GB2312" w:cs="Times New Roman"/>
          <w:spacing w:val="-4"/>
          <w:sz w:val="28"/>
          <w:szCs w:val="28"/>
          <w:lang w:eastAsia="zh-CN" w:bidi="ar-SA"/>
        </w:rPr>
        <w:t>XX年XX月XX日</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51" w:name="_Toc30511_WPSOffice_Level1"/>
      <w:bookmarkStart w:id="52" w:name="_Toc25142_WPSOffice_Level1"/>
      <w:bookmarkStart w:id="53" w:name="_Toc1211_WPSOffice_Level1"/>
      <w:bookmarkStart w:id="54" w:name="_Toc867_WPSOffice_Level1"/>
      <w:bookmarkStart w:id="55" w:name="_Toc26838_WPSOffice_Level1"/>
      <w:bookmarkStart w:id="56" w:name="_Toc7795_WPSOffice_Level1"/>
      <w:r>
        <w:rPr>
          <w:rFonts w:hint="eastAsia" w:ascii="仿宋_GB2312" w:hAnsi="仿宋" w:eastAsia="仿宋_GB2312" w:cs="Times New Roman"/>
          <w:b/>
          <w:spacing w:val="-4"/>
          <w:sz w:val="28"/>
          <w:szCs w:val="28"/>
          <w:lang w:eastAsia="zh-CN" w:bidi="ar-SA"/>
        </w:rPr>
        <w:t>三、安全防护内容及措施</w:t>
      </w:r>
      <w:bookmarkEnd w:id="51"/>
      <w:bookmarkEnd w:id="52"/>
      <w:bookmarkEnd w:id="53"/>
      <w:bookmarkEnd w:id="54"/>
      <w:bookmarkEnd w:id="55"/>
      <w:bookmarkEnd w:id="56"/>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3.1通用条款</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3.1.1乙方应建立安全施工保障体系，落实安全生产责任制，全面负责管理工程项目作业方的施工作业行为。</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3.1.2乙方在轨道交通保护区内进行施工作业前，应当制定城市轨道交通保护专项施工方案，在征得甲方同意并依法办理有关行政许可手续后方可按方案施工。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3.1.3乙方应严格按照评审后的方案进行施工，掌握重大风险，实施排查治理，及时消除安全隐患，控制到每一个施工环节，确保轨道交通安全。      施工期间，乙方应与甲方保持联系，建立健全联系机制，定期将施工进度进行通报，确保信息渠道畅通，为安全顺利地完成施工提供保障。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3.1.4 乙方应对施工作业影响的地下管线，尤其是邻近轨道交通设施附近的燃气管线进行妥善的安全防护和监测，确保安全。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3.1.5乙方应根据轨道交通结构、设备、设施和不同自然条件，针对性地制定城市轨道交通设施保护的各种应急预案（如暴雨、透水、位移、沉降、变形等）。</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3.1.6乙方施工作业出现危及城市轨道交通结构安全情况的，应当立即停止作业、采取相应的安全防护措施，并向甲方报告。在作业结束后，应当组织城市轨道交通保护专项验收，决定是否终止各项防护和监测措施。</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3.1.7乙方应指派专人负责施工作业过程中的轨道交通安全保护管理和配合工作，甲方指派专人负责联系、管理、监督工作。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3.1.8甲方指出的不符合安全管理的行为，乙方应立即改正，并接受处理；乙方施工作业人员不服从甲方管理的，甲方有权要求乙方更换。</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3.1.9乙方在现场发生影响轨道交通结构安全的意外事故，应立即向甲方报告，并保护好现场，接受调查处理。</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3.1.10乙方在作业过程中，不得擅自动用轨道交通相关设施或占用轨道交通用地，若必须动用时，要经甲方同意并办理相关有偿使用手续；如因擅自动用而造成的后果由乙方负全责。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3.1.11乙方在作业过程中，如遇不明情况或施工环境与设计不一致，应及时与甲方联系，确定解决方案；因作业（施工）造成轨道交通设施损坏时，乙方要及时向甲方报告，如因隐瞒不报造成事故则承担事故相应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3.1.12乙方应对进入轨道交通保护区内作业的作业单位资质和人员资格进行审查，明确安全生产方面的权利、义务。</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3.1.13乙方须建立施工现场消防安全责任制度，明确消防安全责任人，制定各项消防安全管理制度和操作规程，按照有关法律法规、标准的要求配备灭火器材。现场严禁存放易燃易爆品。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3.1.14乙方应坚持文明施工作业，减少现场环境污染，保持材料堆放整洁，控制施工作业引起的泥浆、粉尘、污水，防止建筑垃圾漂浮。</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3.1.15在轨道交通保护区内所发生的所有事故、险情，乙方须及时向甲方汇报并说明。</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3.1.16乙方应要求第三方监测单位严格按经专家评审后监测方案进行布点监测和采集数据，并将监测结果及时报送甲方，监测布点不得影响轨道交通相关设施和运营安全。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3.1.17如因项目施工导致轨道交通结构监测数值达到结构安全控制值的80%，乙方应停止相关项目作业，各方共同讨论制定相应安全保护措施，待甲方明确下一步工作要求后，乙方重新向甲方申报施工许可；若对轨道交通造成较大影响的，乙方应委托专业机构开展施工过程轨道交通安全评估。</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3.2专用条款</w:t>
      </w:r>
      <w:r>
        <w:rPr>
          <w:rFonts w:hint="eastAsia" w:ascii="仿宋_GB2312" w:hAnsi="仿宋" w:eastAsia="仿宋_GB2312" w:cs="Times New Roman"/>
          <w:spacing w:val="-4"/>
          <w:sz w:val="28"/>
          <w:szCs w:val="28"/>
          <w:lang w:eastAsia="zh-CN" w:bidi="ar-SA"/>
        </w:rPr>
        <w:tab/>
      </w:r>
    </w:p>
    <w:p>
      <w:pPr>
        <w:spacing w:after="0" w:line="480" w:lineRule="exact"/>
        <w:ind w:firstLine="544" w:firstLineChars="200"/>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3.2.1 乙方发现施工现场出现异常或施工安全隐患可能危及轨道交通结构安全的，必须立即停止施工并采取紧急措施，同时立即向甲方和</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（以下简称“轨道交通运营方”）报告（行车调度24小时值班电话：</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,甲方安全监管电话：</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）。乙方在施工期间需要天窗点和限速的，必须提前一周向轨道交通运营方提报，经轨道交通运营方批复后将相关事项交轨道交通运营方调度。</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57" w:name="_Toc6990_WPSOffice_Level1"/>
      <w:bookmarkStart w:id="58" w:name="_Toc6500_WPSOffice_Level1"/>
      <w:bookmarkStart w:id="59" w:name="_Toc5049_WPSOffice_Level1"/>
      <w:bookmarkStart w:id="60" w:name="_Toc20382_WPSOffice_Level1"/>
      <w:bookmarkStart w:id="61" w:name="_Toc17444_WPSOffice_Level1"/>
      <w:bookmarkStart w:id="62" w:name="_Toc24246_WPSOffice_Level1"/>
      <w:r>
        <w:rPr>
          <w:rFonts w:hint="eastAsia" w:ascii="仿宋_GB2312" w:hAnsi="仿宋" w:eastAsia="仿宋_GB2312" w:cs="Times New Roman"/>
          <w:b/>
          <w:spacing w:val="-4"/>
          <w:sz w:val="28"/>
          <w:szCs w:val="28"/>
          <w:lang w:eastAsia="zh-CN" w:bidi="ar-SA"/>
        </w:rPr>
        <w:t>四、安全生产相关费用</w:t>
      </w:r>
      <w:bookmarkEnd w:id="57"/>
      <w:bookmarkEnd w:id="58"/>
      <w:bookmarkEnd w:id="59"/>
      <w:bookmarkEnd w:id="60"/>
      <w:bookmarkEnd w:id="61"/>
      <w:bookmarkEnd w:id="62"/>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 施工安全保证金</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4.1.1乙方需向甲方交纳施工安全保证金,人民币</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元（大写：</w:t>
      </w:r>
      <w:r>
        <w:rPr>
          <w:rFonts w:hint="eastAsia" w:ascii="仿宋_GB2312" w:hAnsi="仿宋" w:eastAsia="仿宋_GB2312" w:cs="Times New Roman"/>
          <w:spacing w:val="-4"/>
          <w:sz w:val="28"/>
          <w:szCs w:val="28"/>
          <w:u w:val="single"/>
          <w:lang w:eastAsia="zh-CN" w:bidi="ar-SA"/>
        </w:rPr>
        <w:t xml:space="preserve">              </w:t>
      </w:r>
      <w:r>
        <w:rPr>
          <w:rFonts w:ascii="仿宋_GB2312" w:hAnsi="仿宋" w:eastAsia="仿宋_GB2312" w:cs="Times New Roman"/>
          <w:spacing w:val="-4"/>
          <w:sz w:val="28"/>
          <w:szCs w:val="28"/>
          <w:lang w:eastAsia="zh-CN" w:bidi="ar-SA"/>
        </w:rPr>
        <w:t xml:space="preserve"> </w:t>
      </w:r>
      <w:r>
        <w:rPr>
          <w:rFonts w:hint="eastAsia" w:ascii="仿宋_GB2312" w:hAnsi="仿宋" w:eastAsia="仿宋_GB2312" w:cs="Times New Roman"/>
          <w:spacing w:val="-4"/>
          <w:sz w:val="28"/>
          <w:szCs w:val="28"/>
          <w:lang w:eastAsia="zh-CN" w:bidi="ar-SA"/>
        </w:rPr>
        <w:t>）。</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4.1.2乙方施工对轨道交通设施影响结束后，经甲方验收确认未对轨道交通设施与运营安全造成影响，甲方在20个工作日内将施工安全保证金无息返还乙方。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4.1.3乙方施工造成轨道交通设施损坏的，由乙方负责专家论证、安全评估、维修和赔偿，安全评估单位由乙方选定并经甲方认可，维修施工单位由甲方和乙方共同选定，甲方和乙方有分歧时，由甲方确定。修复验收合格后，甲方在20个工作日内将施工安全保证金无息返还乙方。如就安全评估、维修问题产生分歧，由甲方选择评估和维修单位，乙方应先行预支维修费用，并就甲方损失进行赔偿，否则甲方有权直接在施工安全保证金内扣除。</w:t>
      </w:r>
    </w:p>
    <w:p>
      <w:pPr>
        <w:widowControl w:val="0"/>
        <w:spacing w:after="0" w:line="480" w:lineRule="exact"/>
        <w:ind w:firstLine="544" w:firstLineChars="200"/>
        <w:jc w:val="both"/>
        <w:rPr>
          <w:rFonts w:ascii="仿宋_GB2312" w:hAnsi="仿宋" w:eastAsia="仿宋_GB2312" w:cs="仿宋"/>
          <w:spacing w:val="-4"/>
          <w:kern w:val="2"/>
          <w:sz w:val="28"/>
          <w:szCs w:val="28"/>
          <w:lang w:eastAsia="zh-CN" w:bidi="ar-SA"/>
        </w:rPr>
      </w:pPr>
      <w:r>
        <w:rPr>
          <w:rFonts w:hint="eastAsia" w:ascii="仿宋_GB2312" w:hAnsi="仿宋" w:eastAsia="仿宋_GB2312" w:cs="Times New Roman"/>
          <w:spacing w:val="-4"/>
          <w:sz w:val="28"/>
          <w:szCs w:val="28"/>
          <w:lang w:eastAsia="zh-CN" w:bidi="ar-SA"/>
        </w:rPr>
        <w:t>4.1.4甲方</w:t>
      </w:r>
      <w:r>
        <w:rPr>
          <w:rFonts w:hint="eastAsia" w:ascii="仿宋_GB2312" w:hAnsi="仿宋" w:eastAsia="仿宋_GB2312" w:cs="仿宋"/>
          <w:spacing w:val="-4"/>
          <w:kern w:val="2"/>
          <w:sz w:val="28"/>
          <w:szCs w:val="28"/>
          <w:lang w:eastAsia="zh-CN" w:bidi="ar-SA"/>
        </w:rPr>
        <w:t>开户银行：</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1904" w:firstLineChars="700"/>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开户名称：</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1904" w:firstLineChars="700"/>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银行账号：</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4.1施工配合费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4.1.1因配合乙方完成轨道交通线路保护区外部作业工程监管、监测数据管理工作，乙方需向甲方支付劳务费用，费用计算如下：</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w:t>
      </w:r>
      <w:r>
        <w:rPr>
          <w:rFonts w:hint="eastAsia" w:ascii="仿宋_GB2312" w:hAnsi="仿宋" w:eastAsia="仿宋_GB2312" w:cs="Times New Roman"/>
          <w:spacing w:val="-4"/>
          <w:sz w:val="28"/>
          <w:szCs w:val="28"/>
          <w:u w:val="single"/>
          <w:lang w:eastAsia="zh-CN" w:bidi="ar-SA"/>
        </w:rPr>
        <w:t>每月费用</w:t>
      </w:r>
      <w:r>
        <w:rPr>
          <w:rFonts w:hint="eastAsia" w:ascii="仿宋_GB2312" w:hAnsi="仿宋" w:eastAsia="仿宋_GB2312" w:cs="Times New Roman"/>
          <w:spacing w:val="-4"/>
          <w:sz w:val="28"/>
          <w:szCs w:val="28"/>
          <w:lang w:eastAsia="zh-CN" w:bidi="ar-SA"/>
        </w:rPr>
        <w:t>）乘以（</w:t>
      </w:r>
      <w:r>
        <w:rPr>
          <w:rFonts w:hint="eastAsia" w:ascii="仿宋_GB2312" w:hAnsi="仿宋" w:eastAsia="仿宋_GB2312" w:cs="Times New Roman"/>
          <w:spacing w:val="-4"/>
          <w:sz w:val="28"/>
          <w:szCs w:val="28"/>
          <w:u w:val="single"/>
          <w:lang w:eastAsia="zh-CN" w:bidi="ar-SA"/>
        </w:rPr>
        <w:t>监管周期</w:t>
      </w:r>
      <w:r>
        <w:rPr>
          <w:rFonts w:hint="eastAsia" w:ascii="仿宋_GB2312" w:hAnsi="仿宋" w:eastAsia="仿宋_GB2312" w:cs="Times New Roman"/>
          <w:spacing w:val="-4"/>
          <w:sz w:val="28"/>
          <w:szCs w:val="28"/>
          <w:lang w:eastAsia="zh-CN" w:bidi="ar-SA"/>
        </w:rPr>
        <w:t>），共计人民币</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，（大写：</w:t>
      </w:r>
      <w:r>
        <w:rPr>
          <w:rFonts w:hint="eastAsia" w:ascii="仿宋_GB2312" w:hAnsi="仿宋" w:eastAsia="仿宋_GB2312" w:cs="Times New Roman"/>
          <w:spacing w:val="-4"/>
          <w:sz w:val="28"/>
          <w:szCs w:val="28"/>
          <w:u w:val="single"/>
          <w:lang w:eastAsia="zh-CN" w:bidi="ar-SA"/>
        </w:rPr>
        <w:t xml:space="preserve">              </w:t>
      </w:r>
      <w:r>
        <w:rPr>
          <w:rFonts w:ascii="仿宋_GB2312" w:hAnsi="仿宋" w:eastAsia="仿宋_GB2312" w:cs="Times New Roman"/>
          <w:spacing w:val="-4"/>
          <w:sz w:val="28"/>
          <w:szCs w:val="28"/>
          <w:lang w:eastAsia="zh-CN" w:bidi="ar-SA"/>
        </w:rPr>
        <w:t xml:space="preserve"> </w:t>
      </w:r>
      <w:r>
        <w:rPr>
          <w:rFonts w:hint="eastAsia" w:ascii="仿宋_GB2312" w:hAnsi="仿宋" w:eastAsia="仿宋_GB2312" w:cs="Times New Roman"/>
          <w:spacing w:val="-4"/>
          <w:sz w:val="28"/>
          <w:szCs w:val="28"/>
          <w:lang w:eastAsia="zh-CN" w:bidi="ar-SA"/>
        </w:rPr>
        <w:t>）。</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4.1.2致使轨道交通运营启动应急预案的工程施工，需另行收取启动应急预案产生的实际费用。</w:t>
      </w:r>
    </w:p>
    <w:p>
      <w:pPr>
        <w:widowControl w:val="0"/>
        <w:tabs>
          <w:tab w:val="left" w:pos="567"/>
          <w:tab w:val="left" w:pos="709"/>
          <w:tab w:val="left" w:pos="851"/>
        </w:tabs>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4.1.3因配合轨道交通建设而改迁还建，在提供有效证明材料后可根据实际情况考虑免收施工配合费。</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63" w:name="_Toc21352_WPSOffice_Level1"/>
      <w:bookmarkStart w:id="64" w:name="_Toc8099_WPSOffice_Level1"/>
      <w:bookmarkStart w:id="65" w:name="_Toc28615_WPSOffice_Level1"/>
      <w:bookmarkStart w:id="66" w:name="_Toc1039_WPSOffice_Level1"/>
      <w:bookmarkStart w:id="67" w:name="_Toc18588_WPSOffice_Level1"/>
      <w:bookmarkStart w:id="68" w:name="_Toc28795_WPSOffice_Level1"/>
      <w:r>
        <w:rPr>
          <w:rFonts w:hint="eastAsia" w:ascii="仿宋_GB2312" w:hAnsi="仿宋" w:eastAsia="仿宋_GB2312" w:cs="Times New Roman"/>
          <w:b/>
          <w:spacing w:val="-4"/>
          <w:sz w:val="28"/>
          <w:szCs w:val="28"/>
          <w:lang w:eastAsia="zh-CN" w:bidi="ar-SA"/>
        </w:rPr>
        <w:t>五、双方安全责任、权利和义务</w:t>
      </w:r>
      <w:bookmarkEnd w:id="63"/>
      <w:bookmarkEnd w:id="64"/>
      <w:bookmarkEnd w:id="65"/>
      <w:bookmarkEnd w:id="66"/>
      <w:bookmarkEnd w:id="67"/>
      <w:bookmarkEnd w:id="68"/>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5.1共同安全职责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5.1.1 坚持“安全第一，预防为主、综合治理”的方针，必须把确保轨道交通设施及行车安全放在完成一切施工任务的首要位置，并严格执行安全生产有关法律法规。</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5.1.2建立联合监控信息联系制度，日常监测信息和报表共享，及时发现和解决施工中存在的问题，互通施工安全情况，掌握施工安全动态。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5.1.3发现事故、险情情况时，按相关规定及时向上级有关部门汇报，全力参与救援抢修工作，并配合有关部门进行事故、险情调查分析。</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5.1.4当发生危及轨道交通设施安全的隐患时，必须采取有效措施，责成现场立即整改。整改完毕，经检查确认安全问题已消除，方可继续施工，以确保安全。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5.2甲方安全职责、权利</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5.2.1积极做好监督检查（配合）工作，为乙方施工创造有利条件。甲方对乙方的检查（配合）不代替乙方的工作，不承担由此带来的连带责任，也不减轻或者免除乙方相关安全施工责任。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5.2.2在施工期间，甲方发现乙方有影响轨道交通设施安全的隐患时，有权通知乙方整改；如甲方发现乙方存在危及轨道交通既有设施的行为时，有权责令乙方停止施工。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5.2.3有权要求乙方遵守甲方下发的各项安全管理规定及现场管理人员提出的安全管理要求；有权进入乙方施工作业范围内进行巡查和监督。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5.3乙方安全职责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 根据相关的法律、法规和政府规章，承担建设单位涉及轨道交通设施保护的相关责任。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5.3.2乙方组织进入轨道交通保护区范围内施工前，须通知甲方进行施工前现状确认和监督，以书面形式向甲方提出施工申请，由于乙方未申请而施工造成的一切后果由乙方负全责。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5.3.3乙方应委托甲方认可且具有相关轨道交通监测资质的第三方监测单位，开展轨道交通设施及周边环境监测。第三方监测方案需经专家评审通过后方可付诸实施，监测数据及分析报表必须按时提供给甲方备案。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4</w:t>
      </w:r>
      <w:r>
        <w:rPr>
          <w:rFonts w:hint="eastAsia" w:ascii="仿宋_GB2312" w:hAnsi="仿宋" w:eastAsia="仿宋_GB2312" w:cs="Times New Roman"/>
          <w:spacing w:val="-4"/>
          <w:sz w:val="28"/>
          <w:szCs w:val="28"/>
          <w:lang w:eastAsia="zh-CN" w:bidi="ar-SA"/>
        </w:rPr>
        <w:t>当出现报警情况时，乙方应组织相关单位、部门召开有关会议，分析原因、制定对策和措施。</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5</w:t>
      </w:r>
      <w:r>
        <w:rPr>
          <w:rFonts w:hint="eastAsia" w:ascii="仿宋_GB2312" w:hAnsi="仿宋" w:eastAsia="仿宋_GB2312" w:cs="Times New Roman"/>
          <w:spacing w:val="-4"/>
          <w:sz w:val="28"/>
          <w:szCs w:val="28"/>
          <w:lang w:eastAsia="zh-CN" w:bidi="ar-SA"/>
        </w:rPr>
        <w:t xml:space="preserve"> 乙方须制定可能影响轨道交通设施的应急预案，在发生可能危及轨道交通设施安全的突发事件时，需在第一时间通知甲方，并组织抢险工作。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6</w:t>
      </w:r>
      <w:r>
        <w:rPr>
          <w:rFonts w:hint="eastAsia" w:ascii="仿宋_GB2312" w:hAnsi="仿宋" w:eastAsia="仿宋_GB2312" w:cs="Times New Roman"/>
          <w:spacing w:val="-4"/>
          <w:sz w:val="28"/>
          <w:szCs w:val="28"/>
          <w:lang w:eastAsia="zh-CN" w:bidi="ar-SA"/>
        </w:rPr>
        <w:t>乙方在施工中对轨道交通既有结构造成损坏的，须承担由此造成的一切后果。乙方要严格按审定的技术方案和范围组织施工，施工中要严格落实各项安全措施和监测方案，并根据监测结果优化施工方案。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7</w:t>
      </w:r>
      <w:r>
        <w:rPr>
          <w:rFonts w:hint="eastAsia" w:ascii="仿宋_GB2312" w:hAnsi="仿宋" w:eastAsia="仿宋_GB2312" w:cs="Times New Roman"/>
          <w:spacing w:val="-4"/>
          <w:sz w:val="28"/>
          <w:szCs w:val="28"/>
          <w:lang w:eastAsia="zh-CN" w:bidi="ar-SA"/>
        </w:rPr>
        <w:t>乙方对甲方提出的安全隐患或不符合专项施工方案的行为，应立即组织整改，并将处理结果及时反馈。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8</w:t>
      </w:r>
      <w:r>
        <w:rPr>
          <w:rFonts w:hint="eastAsia" w:ascii="仿宋_GB2312" w:hAnsi="仿宋" w:eastAsia="仿宋_GB2312" w:cs="Times New Roman"/>
          <w:spacing w:val="-4"/>
          <w:sz w:val="28"/>
          <w:szCs w:val="28"/>
          <w:lang w:eastAsia="zh-CN" w:bidi="ar-SA"/>
        </w:rPr>
        <w:t>乙方应指定轨道交通保护专职监管人（经甲方认可），专职监管人原则上为乙方现场负责人。专职监管人对轨道交通保护区的施工作业行为及安全防护措施进行专职检查，并将项目施工及检查情况和下周施工计划定期提供给甲方，如项目施工发生异常，需立刻向甲方反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9</w:t>
      </w:r>
      <w:r>
        <w:rPr>
          <w:rFonts w:hint="eastAsia" w:ascii="仿宋_GB2312" w:hAnsi="仿宋" w:eastAsia="仿宋_GB2312" w:cs="Times New Roman"/>
          <w:spacing w:val="-4"/>
          <w:sz w:val="28"/>
          <w:szCs w:val="28"/>
          <w:lang w:eastAsia="zh-CN" w:bidi="ar-SA"/>
        </w:rPr>
        <w:t xml:space="preserve"> 乙方在施工过程中，不得出现异物落入轨行区的情况，否则由此造成的后果由乙方负责。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10</w:t>
      </w:r>
      <w:r>
        <w:rPr>
          <w:rFonts w:hint="eastAsia" w:ascii="仿宋_GB2312" w:hAnsi="仿宋" w:eastAsia="仿宋_GB2312" w:cs="Times New Roman"/>
          <w:spacing w:val="-4"/>
          <w:sz w:val="28"/>
          <w:szCs w:val="28"/>
          <w:lang w:eastAsia="zh-CN" w:bidi="ar-SA"/>
        </w:rPr>
        <w:t>乙方组织施工项目竣工验收或影响轨道交通的分部工程验收时，须增加施工对城市轨道交通设施与运营安全影响的验收内容。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w:t>
      </w:r>
      <w:r>
        <w:rPr>
          <w:rFonts w:ascii="仿宋_GB2312" w:hAnsi="仿宋" w:eastAsia="仿宋_GB2312" w:cs="Times New Roman"/>
          <w:spacing w:val="-4"/>
          <w:sz w:val="28"/>
          <w:szCs w:val="28"/>
          <w:lang w:eastAsia="zh-CN" w:bidi="ar-SA"/>
        </w:rPr>
        <w:t>1</w:t>
      </w:r>
      <w:r>
        <w:rPr>
          <w:rFonts w:hint="eastAsia" w:ascii="仿宋_GB2312" w:hAnsi="仿宋" w:eastAsia="仿宋_GB2312" w:cs="Times New Roman"/>
          <w:spacing w:val="-4"/>
          <w:sz w:val="28"/>
          <w:szCs w:val="28"/>
          <w:lang w:eastAsia="zh-CN" w:bidi="ar-SA"/>
        </w:rPr>
        <w:t>若涉及运营线路车站周围施工，施工单位应根据车站要求，做好站内外临时导向标志的设置，并在相应出入口布置安民告示。在车站出入口的站外明显处布置施工项目告示栏。封闭出入口前，需向甲方提报计划，经同意后方可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5.3.12 施工完成且监测数据稳定后，乙方应要求第三方监测单位尽快完成监测总结报告，并提交甲方备案。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1</w:t>
      </w:r>
      <w:r>
        <w:rPr>
          <w:rFonts w:hint="eastAsia" w:ascii="仿宋_GB2312" w:hAnsi="仿宋" w:eastAsia="仿宋_GB2312" w:cs="Times New Roman"/>
          <w:spacing w:val="-4"/>
          <w:sz w:val="28"/>
          <w:szCs w:val="28"/>
          <w:lang w:eastAsia="zh-CN" w:bidi="ar-SA"/>
        </w:rPr>
        <w:t>3 乙方应遵守甲方的各项规章制度和有关轨道交通建设、运营管理的规定。</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69" w:name="_Toc26471_WPSOffice_Level1"/>
      <w:bookmarkStart w:id="70" w:name="_Toc11377_WPSOffice_Level1"/>
      <w:bookmarkStart w:id="71" w:name="_Toc11155_WPSOffice_Level1"/>
      <w:bookmarkStart w:id="72" w:name="_Toc18991_WPSOffice_Level1"/>
      <w:bookmarkStart w:id="73" w:name="_Toc11378_WPSOffice_Level1"/>
      <w:bookmarkStart w:id="74" w:name="_Toc19642_WPSOffice_Level1"/>
      <w:r>
        <w:rPr>
          <w:rFonts w:hint="eastAsia" w:ascii="仿宋_GB2312" w:hAnsi="仿宋" w:eastAsia="仿宋_GB2312" w:cs="Times New Roman"/>
          <w:b/>
          <w:spacing w:val="-4"/>
          <w:sz w:val="28"/>
          <w:szCs w:val="28"/>
          <w:lang w:eastAsia="zh-CN" w:bidi="ar-SA"/>
        </w:rPr>
        <w:t>六、违约责任和经济责任</w:t>
      </w:r>
      <w:bookmarkEnd w:id="69"/>
      <w:bookmarkEnd w:id="70"/>
      <w:bookmarkEnd w:id="71"/>
      <w:bookmarkEnd w:id="72"/>
      <w:bookmarkEnd w:id="73"/>
      <w:bookmarkEnd w:id="74"/>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6.1发生安全事故，乙方应在抢救受伤人员、减少进一步损失、保护现场的同时，应按相关法律法规的规定向有关部门上报，并不得隐瞒事故真相，如有违反，导致事故责任无法确认的，事故责任及事故损失均由乙方自行承担。</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6.2因乙方施工原因导致轨道交通保护区内设施设备受到伤害，影响后续运营维护的，乙方应委托专业单位对轨道交通设施设备进行修复。修复期间需甲方进行配合的，甲方由此产生的相关费用由乙方承担，乙方需向甲方支付相关费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6.3因乙方施工原因导致对轨道交通保护区内设施设备及周边环境的安全造成重大隐患，影响其使用功能或损坏的，乙方除承担设施设备本身的赔偿责任外，还须承担因此而导致事故责任及给甲方造成的全部经济损失。</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6.4对于在施工期间乙方存在一般的违约情形，乙方应当按照甲方要求进行限期整改的同时，并按照5000元/次向甲方支付违约金。</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w:t>
      </w:r>
      <w:r>
        <w:rPr>
          <w:rFonts w:ascii="仿宋_GB2312" w:hAnsi="仿宋" w:eastAsia="仿宋_GB2312" w:cs="Times New Roman"/>
          <w:spacing w:val="-4"/>
          <w:sz w:val="28"/>
          <w:szCs w:val="28"/>
          <w:lang w:eastAsia="zh-CN" w:bidi="ar-SA"/>
        </w:rPr>
        <w:t>.5</w:t>
      </w:r>
      <w:r>
        <w:rPr>
          <w:rFonts w:hint="eastAsia" w:ascii="仿宋_GB2312" w:hAnsi="仿宋" w:eastAsia="仿宋_GB2312" w:cs="Times New Roman"/>
          <w:spacing w:val="-4"/>
          <w:sz w:val="28"/>
          <w:szCs w:val="28"/>
          <w:lang w:eastAsia="zh-CN" w:bidi="ar-SA"/>
        </w:rPr>
        <w:t>在施工期间因乙方施工责任导致甲方动车停运或延误的，乙方应当立即采取措施排除妨害，甲方有权一次性扣除乙方全部施工安全保证金作为对运营方的补偿，保证金不足以弥补甲方或运营方损失的，甲方或列车运营方仍有权继续向乙方追偿。</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w:t>
      </w:r>
      <w:r>
        <w:rPr>
          <w:rFonts w:ascii="仿宋_GB2312" w:hAnsi="仿宋" w:eastAsia="仿宋_GB2312" w:cs="Times New Roman"/>
          <w:spacing w:val="-4"/>
          <w:sz w:val="28"/>
          <w:szCs w:val="28"/>
          <w:lang w:eastAsia="zh-CN" w:bidi="ar-SA"/>
        </w:rPr>
        <w:t>.6</w:t>
      </w:r>
      <w:r>
        <w:rPr>
          <w:rFonts w:hint="eastAsia" w:ascii="仿宋_GB2312" w:hAnsi="仿宋" w:eastAsia="仿宋_GB2312" w:cs="Times New Roman"/>
          <w:spacing w:val="-4"/>
          <w:sz w:val="28"/>
          <w:szCs w:val="28"/>
          <w:lang w:eastAsia="zh-CN" w:bidi="ar-SA"/>
        </w:rPr>
        <w:t>甲方扣除乙方保证金后，乙方应当于甲方扣除之日起</w:t>
      </w:r>
      <w:r>
        <w:rPr>
          <w:rFonts w:ascii="仿宋_GB2312" w:hAnsi="仿宋" w:eastAsia="仿宋_GB2312" w:cs="Times New Roman"/>
          <w:spacing w:val="-4"/>
          <w:sz w:val="28"/>
          <w:szCs w:val="28"/>
          <w:lang w:eastAsia="zh-CN" w:bidi="ar-SA"/>
        </w:rPr>
        <w:t>3</w:t>
      </w:r>
      <w:r>
        <w:rPr>
          <w:rFonts w:hint="eastAsia" w:ascii="仿宋_GB2312" w:hAnsi="仿宋" w:eastAsia="仿宋_GB2312" w:cs="Times New Roman"/>
          <w:spacing w:val="-4"/>
          <w:sz w:val="28"/>
          <w:szCs w:val="28"/>
          <w:lang w:eastAsia="zh-CN" w:bidi="ar-SA"/>
        </w:rPr>
        <w:t>日内重新补齐全部保证金。</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75" w:name="_Toc3855_WPSOffice_Level1"/>
      <w:bookmarkStart w:id="76" w:name="_Toc23166_WPSOffice_Level1"/>
      <w:bookmarkStart w:id="77" w:name="_Toc21048_WPSOffice_Level1"/>
      <w:bookmarkStart w:id="78" w:name="_Toc14184_WPSOffice_Level1"/>
      <w:bookmarkStart w:id="79" w:name="_Toc31839_WPSOffice_Level1"/>
      <w:bookmarkStart w:id="80" w:name="_Toc18496_WPSOffice_Level1"/>
      <w:r>
        <w:rPr>
          <w:rFonts w:hint="eastAsia" w:ascii="仿宋_GB2312" w:hAnsi="仿宋" w:eastAsia="仿宋_GB2312" w:cs="Times New Roman"/>
          <w:b/>
          <w:spacing w:val="-4"/>
          <w:sz w:val="28"/>
          <w:szCs w:val="28"/>
          <w:lang w:eastAsia="zh-CN" w:bidi="ar-SA"/>
        </w:rPr>
        <w:t>七、联络制度</w:t>
      </w:r>
      <w:bookmarkEnd w:id="75"/>
      <w:bookmarkEnd w:id="76"/>
      <w:bookmarkEnd w:id="77"/>
      <w:bookmarkEnd w:id="78"/>
      <w:bookmarkEnd w:id="79"/>
      <w:bookmarkEnd w:id="80"/>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7.1甲乙双方对施工期间出现或可能出现的情况须互相及时通报，必要时召开双方联席会。</w:t>
      </w:r>
    </w:p>
    <w:p>
      <w:pPr>
        <w:widowControl w:val="0"/>
        <w:spacing w:after="0" w:line="480" w:lineRule="exact"/>
        <w:ind w:firstLine="544" w:firstLineChars="200"/>
        <w:jc w:val="both"/>
        <w:rPr>
          <w:rFonts w:ascii="仿宋_GB2312" w:hAnsi="宋体" w:eastAsia="仿宋_GB2312" w:cs="Times New Roman"/>
          <w:spacing w:val="-4"/>
          <w:kern w:val="2"/>
          <w:sz w:val="28"/>
          <w:szCs w:val="28"/>
          <w:lang w:eastAsia="zh-CN" w:bidi="ar-SA"/>
        </w:rPr>
      </w:pPr>
      <w:r>
        <w:rPr>
          <w:rFonts w:hint="eastAsia" w:ascii="仿宋_GB2312" w:hAnsi="宋体" w:eastAsia="仿宋_GB2312" w:cs="Times New Roman"/>
          <w:spacing w:val="-4"/>
          <w:kern w:val="2"/>
          <w:sz w:val="28"/>
          <w:szCs w:val="28"/>
          <w:lang w:eastAsia="zh-CN" w:bidi="ar-SA"/>
        </w:rPr>
        <w:t>7.2双方责任部门及联系电话</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甲方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责任</w:t>
      </w:r>
      <w:r>
        <w:rPr>
          <w:rFonts w:ascii="仿宋_GB2312" w:hAnsi="仿宋" w:eastAsia="仿宋_GB2312" w:cs="Times New Roman"/>
          <w:spacing w:val="-4"/>
          <w:sz w:val="28"/>
          <w:szCs w:val="28"/>
          <w:lang w:eastAsia="zh-CN" w:bidi="ar-SA"/>
        </w:rPr>
        <w:t>部门：</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联系电话</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乙方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责任人</w:t>
      </w:r>
      <w:r>
        <w:rPr>
          <w:rFonts w:ascii="仿宋_GB2312" w:hAnsi="仿宋" w:eastAsia="仿宋_GB2312" w:cs="Times New Roman"/>
          <w:spacing w:val="-4"/>
          <w:sz w:val="28"/>
          <w:szCs w:val="28"/>
          <w:lang w:eastAsia="zh-CN" w:bidi="ar-SA"/>
        </w:rPr>
        <w:t>：</w:t>
      </w:r>
      <w:r>
        <w:rPr>
          <w:rFonts w:hint="eastAsia" w:ascii="仿宋_GB2312" w:hAnsi="宋体" w:eastAsia="仿宋_GB2312" w:cs="Times New Roman"/>
          <w:kern w:val="2"/>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联系</w:t>
      </w:r>
      <w:r>
        <w:rPr>
          <w:rFonts w:hint="eastAsia" w:ascii="仿宋_GB2312" w:hAnsi="仿宋" w:eastAsia="仿宋_GB2312" w:cs="Times New Roman"/>
          <w:spacing w:val="-4"/>
          <w:sz w:val="28"/>
          <w:szCs w:val="28"/>
          <w:lang w:eastAsia="zh-CN" w:bidi="ar-SA"/>
        </w:rPr>
        <w:t>电话</w:t>
      </w:r>
      <w:r>
        <w:rPr>
          <w:rFonts w:ascii="仿宋_GB2312" w:hAnsi="仿宋" w:eastAsia="仿宋_GB2312" w:cs="Times New Roman"/>
          <w:spacing w:val="-4"/>
          <w:sz w:val="28"/>
          <w:szCs w:val="28"/>
          <w:lang w:eastAsia="zh-CN" w:bidi="ar-SA"/>
        </w:rPr>
        <w:t>：</w:t>
      </w:r>
      <w:r>
        <w:rPr>
          <w:rFonts w:hint="eastAsia" w:ascii="宋体" w:hAnsi="宋体" w:eastAsia="仿宋_GB2312" w:cs="Times New Roman"/>
          <w:bCs/>
          <w:kern w:val="2"/>
          <w:sz w:val="28"/>
          <w:szCs w:val="28"/>
          <w:lang w:eastAsia="zh-CN" w:bidi="ar-SA"/>
        </w:rPr>
        <w:t>XXX</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81" w:name="_Toc13085_WPSOffice_Level1"/>
      <w:bookmarkStart w:id="82" w:name="_Toc22818_WPSOffice_Level1"/>
      <w:bookmarkStart w:id="83" w:name="_Toc9429_WPSOffice_Level1"/>
      <w:bookmarkStart w:id="84" w:name="_Toc31697_WPSOffice_Level1"/>
      <w:bookmarkStart w:id="85" w:name="_Toc32122_WPSOffice_Level1"/>
      <w:bookmarkStart w:id="86" w:name="_Toc6960_WPSOffice_Level1"/>
      <w:r>
        <w:rPr>
          <w:rFonts w:hint="eastAsia" w:ascii="仿宋_GB2312" w:hAnsi="仿宋" w:eastAsia="仿宋_GB2312" w:cs="Times New Roman"/>
          <w:b/>
          <w:spacing w:val="-4"/>
          <w:sz w:val="28"/>
          <w:szCs w:val="28"/>
          <w:lang w:eastAsia="zh-CN" w:bidi="ar-SA"/>
        </w:rPr>
        <w:t>八、其他事项</w:t>
      </w:r>
      <w:bookmarkEnd w:id="81"/>
      <w:bookmarkEnd w:id="82"/>
      <w:bookmarkEnd w:id="83"/>
      <w:bookmarkEnd w:id="84"/>
      <w:bookmarkEnd w:id="85"/>
      <w:bookmarkEnd w:id="86"/>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8.1本协议未尽事宜，双方另行商定，如签订补充协议，则与本协议一并执行。</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8.2双方在履行协议过程中发生争议，协商无法解决时，可以提请双方上级主管部门调解。无法调解时，申请温州市仲裁委员会仲裁。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8.3本协议一式陆份，甲方执肆份，乙方执贰份，双方签订之日起生效。</w:t>
      </w:r>
    </w:p>
    <w:p>
      <w:pPr>
        <w:widowControl w:val="0"/>
        <w:spacing w:after="0" w:line="480" w:lineRule="exact"/>
        <w:jc w:val="both"/>
        <w:rPr>
          <w:rFonts w:ascii="仿宋_GB2312" w:hAnsi="仿宋" w:eastAsia="仿宋_GB2312"/>
          <w:spacing w:val="-4"/>
          <w:kern w:val="2"/>
          <w:sz w:val="28"/>
          <w:szCs w:val="28"/>
          <w:lang w:eastAsia="zh-CN" w:bidi="ar-SA"/>
        </w:rPr>
      </w:pPr>
    </w:p>
    <w:p>
      <w:pPr>
        <w:widowControl w:val="0"/>
        <w:spacing w:after="0" w:line="480" w:lineRule="exact"/>
        <w:ind w:firstLine="544" w:firstLineChars="200"/>
        <w:jc w:val="both"/>
        <w:rPr>
          <w:rFonts w:ascii="仿宋_GB2312" w:hAnsi="仿宋" w:eastAsia="仿宋_GB2312" w:cs="仿宋"/>
          <w:spacing w:val="-4"/>
          <w:kern w:val="2"/>
          <w:sz w:val="28"/>
          <w:szCs w:val="28"/>
          <w:lang w:eastAsia="zh-CN" w:bidi="ar-SA"/>
        </w:rPr>
      </w:pPr>
      <w:r>
        <w:rPr>
          <w:rFonts w:hint="eastAsia" w:ascii="仿宋_GB2312" w:hAnsi="仿宋" w:eastAsia="仿宋_GB2312"/>
          <w:spacing w:val="-4"/>
          <w:kern w:val="2"/>
          <w:sz w:val="28"/>
          <w:szCs w:val="28"/>
          <w:lang w:eastAsia="zh-CN" w:bidi="ar-SA"/>
        </w:rPr>
        <w:t>【以下为签署栏，无正文】</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甲方：（盖章）</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法定代表人或其授权代理人：</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电话：</w:t>
      </w:r>
    </w:p>
    <w:p>
      <w:pPr>
        <w:widowControl w:val="0"/>
        <w:spacing w:after="0" w:line="480" w:lineRule="exact"/>
        <w:jc w:val="right"/>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年  月  日</w:t>
      </w:r>
    </w:p>
    <w:p>
      <w:pPr>
        <w:widowControl w:val="0"/>
        <w:spacing w:after="0" w:line="480" w:lineRule="exact"/>
        <w:jc w:val="both"/>
        <w:rPr>
          <w:rFonts w:ascii="仿宋_GB2312" w:hAnsi="仿宋" w:eastAsia="仿宋_GB2312" w:cs="仿宋"/>
          <w:spacing w:val="-4"/>
          <w:kern w:val="2"/>
          <w:sz w:val="28"/>
          <w:szCs w:val="28"/>
          <w:lang w:eastAsia="zh-CN" w:bidi="ar-SA"/>
        </w:rPr>
      </w:pP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乙方：（盖章）</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法定代表人或其授权代理人：</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 xml:space="preserve">电话： </w:t>
      </w:r>
    </w:p>
    <w:p>
      <w:pPr>
        <w:widowControl w:val="0"/>
        <w:spacing w:after="0" w:line="480" w:lineRule="exact"/>
        <w:jc w:val="right"/>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年  月  日</w:t>
      </w:r>
    </w:p>
    <w:p>
      <w:pPr>
        <w:widowControl w:val="0"/>
        <w:jc w:val="both"/>
        <w:rPr>
          <w:rFonts w:ascii="仿宋_GB2312" w:hAnsi="宋体" w:eastAsia="仿宋_GB2312" w:cs="Times New Roman"/>
          <w:bCs/>
          <w:spacing w:val="-4"/>
          <w:kern w:val="2"/>
          <w:sz w:val="24"/>
          <w:szCs w:val="24"/>
          <w:lang w:eastAsia="zh-CN" w:bidi="ar-SA"/>
        </w:rPr>
      </w:pPr>
    </w:p>
    <w:p>
      <w:pPr>
        <w:widowControl w:val="0"/>
        <w:jc w:val="both"/>
        <w:rPr>
          <w:rFonts w:ascii="仿宋_GB2312" w:hAnsi="宋体" w:eastAsia="仿宋_GB2312" w:cs="Times New Roman"/>
          <w:b/>
          <w:bCs/>
          <w:spacing w:val="-4"/>
          <w:kern w:val="2"/>
          <w:sz w:val="24"/>
          <w:szCs w:val="24"/>
          <w:lang w:eastAsia="zh-CN" w:bidi="ar-SA"/>
        </w:rPr>
      </w:pPr>
    </w:p>
    <w:p>
      <w:pPr>
        <w:spacing w:after="0" w:line="400" w:lineRule="exact"/>
        <w:rPr>
          <w:rFonts w:ascii="宋体" w:hAnsi="宋体"/>
          <w:sz w:val="21"/>
          <w:szCs w:val="21"/>
          <w:lang w:eastAsia="zh-CN"/>
        </w:rPr>
      </w:pPr>
    </w:p>
    <w:bookmarkEnd w:id="0"/>
    <w:bookmarkEnd w:id="1"/>
    <w:p>
      <w:pPr>
        <w:rPr>
          <w:lang w:eastAsia="zh-CN" w:bidi="ar-SA"/>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邱海慧" w:date="2023-04-17T10:12:28Z" w:initials="Q">
    <w:p w14:paraId="39161680">
      <w:pPr>
        <w:pStyle w:val="12"/>
        <w:rPr>
          <w:rFonts w:hint="eastAsia" w:eastAsia="宋体"/>
          <w:lang w:eastAsia="zh-CN"/>
        </w:rPr>
      </w:pPr>
      <w:r>
        <w:rPr>
          <w:rFonts w:hint="eastAsia"/>
          <w:lang w:eastAsia="zh-CN"/>
        </w:rPr>
        <w:t>空着不写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1616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简小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right"/>
      <w:rPr>
        <w:rFonts w:ascii="宋体" w:hAnsi="宋体" w:cs="Times New Roman"/>
        <w:kern w:val="2"/>
        <w:sz w:val="21"/>
        <w:szCs w:val="21"/>
        <w:lang w:eastAsia="zh-CN" w:bidi="ar-SA"/>
      </w:rPr>
    </w:pPr>
    <w:r>
      <w:rPr>
        <w:rFonts w:ascii="Times New Roman" w:hAnsi="Times New Roman" w:cs="Times New Roman"/>
        <w:kern w:val="2"/>
        <w:sz w:val="21"/>
        <w:szCs w:val="18"/>
        <w:lang w:eastAsia="zh-CN" w:bidi="ar-SA"/>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rPr>
                              <w:rFonts w:ascii="Times New Roman" w:hAnsi="Times New Roman" w:cs="Times New Roman"/>
                              <w:kern w:val="2"/>
                              <w:lang w:eastAsia="zh-CN" w:bidi="ar-SA"/>
                            </w:rPr>
                          </w:pPr>
                          <w:r>
                            <w:rPr>
                              <w:rFonts w:hint="eastAsia" w:ascii="Times New Roman" w:hAnsi="Times New Roman" w:cs="Times New Roman"/>
                              <w:kern w:val="2"/>
                              <w:lang w:eastAsia="zh-CN" w:bidi="ar-SA"/>
                            </w:rPr>
                            <w:fldChar w:fldCharType="begin"/>
                          </w:r>
                          <w:r>
                            <w:rPr>
                              <w:rFonts w:hint="eastAsia" w:ascii="Times New Roman" w:hAnsi="Times New Roman" w:cs="Times New Roman"/>
                              <w:kern w:val="2"/>
                              <w:lang w:eastAsia="zh-CN" w:bidi="ar-SA"/>
                            </w:rPr>
                            <w:instrText xml:space="preserve"> PAGE  \* MERGEFORMAT </w:instrText>
                          </w:r>
                          <w:r>
                            <w:rPr>
                              <w:rFonts w:hint="eastAsia" w:ascii="Times New Roman" w:hAnsi="Times New Roman" w:cs="Times New Roman"/>
                              <w:kern w:val="2"/>
                              <w:lang w:eastAsia="zh-CN" w:bidi="ar-SA"/>
                            </w:rPr>
                            <w:fldChar w:fldCharType="separate"/>
                          </w:r>
                          <w:r>
                            <w:rPr>
                              <w:rFonts w:ascii="Times New Roman" w:hAnsi="Times New Roman" w:cs="Times New Roman"/>
                              <w:kern w:val="2"/>
                              <w:lang w:eastAsia="zh-CN" w:bidi="ar-SA"/>
                            </w:rPr>
                            <w:t>- 13 -</w:t>
                          </w:r>
                          <w:r>
                            <w:rPr>
                              <w:rFonts w:hint="eastAsia" w:ascii="Times New Roman" w:hAnsi="Times New Roman" w:cs="Times New Roman"/>
                              <w:kern w:val="2"/>
                              <w:lang w:eastAsia="zh-CN" w:bidi="ar-S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SrpNtqwEAAE0DAAAO&#10;AAAAAAAAAAEAIAAAAB4BAABkcnMvZTJvRG9jLnhtbFBLBQYAAAAABgAGAFkBAAA7BQAAAAA=&#10;">
              <v:fill on="f" focussize="0,0"/>
              <v:stroke on="f"/>
              <v:imagedata o:title=""/>
              <o:lock v:ext="edit" aspectratio="f"/>
              <v:textbox inset="0mm,0mm,0mm,0mm" style="mso-fit-shape-to-text:t;">
                <w:txbxContent>
                  <w:p>
                    <w:pPr>
                      <w:widowControl w:val="0"/>
                      <w:tabs>
                        <w:tab w:val="center" w:pos="4153"/>
                        <w:tab w:val="right" w:pos="8306"/>
                      </w:tabs>
                      <w:snapToGrid w:val="0"/>
                      <w:rPr>
                        <w:rFonts w:ascii="Times New Roman" w:hAnsi="Times New Roman" w:cs="Times New Roman"/>
                        <w:kern w:val="2"/>
                        <w:lang w:eastAsia="zh-CN" w:bidi="ar-SA"/>
                      </w:rPr>
                    </w:pPr>
                    <w:r>
                      <w:rPr>
                        <w:rFonts w:hint="eastAsia" w:ascii="Times New Roman" w:hAnsi="Times New Roman" w:cs="Times New Roman"/>
                        <w:kern w:val="2"/>
                        <w:lang w:eastAsia="zh-CN" w:bidi="ar-SA"/>
                      </w:rPr>
                      <w:fldChar w:fldCharType="begin"/>
                    </w:r>
                    <w:r>
                      <w:rPr>
                        <w:rFonts w:hint="eastAsia" w:ascii="Times New Roman" w:hAnsi="Times New Roman" w:cs="Times New Roman"/>
                        <w:kern w:val="2"/>
                        <w:lang w:eastAsia="zh-CN" w:bidi="ar-SA"/>
                      </w:rPr>
                      <w:instrText xml:space="preserve"> PAGE  \* MERGEFORMAT </w:instrText>
                    </w:r>
                    <w:r>
                      <w:rPr>
                        <w:rFonts w:hint="eastAsia" w:ascii="Times New Roman" w:hAnsi="Times New Roman" w:cs="Times New Roman"/>
                        <w:kern w:val="2"/>
                        <w:lang w:eastAsia="zh-CN" w:bidi="ar-SA"/>
                      </w:rPr>
                      <w:fldChar w:fldCharType="separate"/>
                    </w:r>
                    <w:r>
                      <w:rPr>
                        <w:rFonts w:ascii="Times New Roman" w:hAnsi="Times New Roman" w:cs="Times New Roman"/>
                        <w:kern w:val="2"/>
                        <w:lang w:eastAsia="zh-CN" w:bidi="ar-SA"/>
                      </w:rPr>
                      <w:t>- 13 -</w:t>
                    </w:r>
                    <w:r>
                      <w:rPr>
                        <w:rFonts w:hint="eastAsia" w:ascii="Times New Roman" w:hAnsi="Times New Roman" w:cs="Times New Roman"/>
                        <w:kern w:val="2"/>
                        <w:lang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rPr>
        <w:rFonts w:ascii="宋体" w:hAnsi="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- 13 -</w:t>
                          </w:r>
                          <w:r>
                            <w:rPr>
                              <w:rFonts w:hint="eastAsia"/>
                              <w:sz w:val="28"/>
                              <w:szCs w:val="2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hgAylKwBAABNAwAA&#10;DgAAAAAAAAABACAAAAAeAQAAZHJzL2Uyb0RvYy54bWxQSwUGAAAAAAYABgBZAQAAPAUAAAAA&#10;">
              <v:fill on="f" focussize="0,0"/>
              <v:stroke on="f"/>
              <v:imagedata o:title=""/>
              <o:lock v:ext="edit" aspectratio="f"/>
              <v:textbox inset="0mm,0mm,0mm,0mm" style="mso-fit-shape-to-text:t;">
                <w:txbxContent>
                  <w:p>
                    <w:pPr>
                      <w:pStyle w:val="1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- 13 -</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714C8"/>
    <w:multiLevelType w:val="singleLevel"/>
    <w:tmpl w:val="99A714C8"/>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海慧">
    <w15:presenceInfo w15:providerId="None" w15:userId="邱海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BE"/>
    <w:rsid w:val="00003F99"/>
    <w:rsid w:val="00014DBF"/>
    <w:rsid w:val="0003037C"/>
    <w:rsid w:val="0004006F"/>
    <w:rsid w:val="00044C03"/>
    <w:rsid w:val="00047ADB"/>
    <w:rsid w:val="00050950"/>
    <w:rsid w:val="00062659"/>
    <w:rsid w:val="0006499B"/>
    <w:rsid w:val="00071C35"/>
    <w:rsid w:val="00074CC0"/>
    <w:rsid w:val="00080D69"/>
    <w:rsid w:val="00096ED5"/>
    <w:rsid w:val="000A1402"/>
    <w:rsid w:val="000A6E45"/>
    <w:rsid w:val="000C2413"/>
    <w:rsid w:val="000D2A60"/>
    <w:rsid w:val="000D6F1D"/>
    <w:rsid w:val="000D7135"/>
    <w:rsid w:val="000E4609"/>
    <w:rsid w:val="000E61F7"/>
    <w:rsid w:val="000E69A0"/>
    <w:rsid w:val="0011565A"/>
    <w:rsid w:val="0013591F"/>
    <w:rsid w:val="001379CF"/>
    <w:rsid w:val="00137F2D"/>
    <w:rsid w:val="001408D5"/>
    <w:rsid w:val="00171951"/>
    <w:rsid w:val="001754D4"/>
    <w:rsid w:val="001A06CF"/>
    <w:rsid w:val="001A27C0"/>
    <w:rsid w:val="001D0410"/>
    <w:rsid w:val="001D3782"/>
    <w:rsid w:val="001D3D27"/>
    <w:rsid w:val="001E07DE"/>
    <w:rsid w:val="001E710D"/>
    <w:rsid w:val="001F2449"/>
    <w:rsid w:val="0021096E"/>
    <w:rsid w:val="00211DD3"/>
    <w:rsid w:val="00216E3E"/>
    <w:rsid w:val="00231CBF"/>
    <w:rsid w:val="00244428"/>
    <w:rsid w:val="0026366B"/>
    <w:rsid w:val="00265415"/>
    <w:rsid w:val="00275BE7"/>
    <w:rsid w:val="00281E47"/>
    <w:rsid w:val="0028582F"/>
    <w:rsid w:val="002900AD"/>
    <w:rsid w:val="00291B6A"/>
    <w:rsid w:val="00292847"/>
    <w:rsid w:val="002A7C02"/>
    <w:rsid w:val="002B7AF8"/>
    <w:rsid w:val="002C2756"/>
    <w:rsid w:val="002C4B1C"/>
    <w:rsid w:val="002C67BE"/>
    <w:rsid w:val="002C6D7A"/>
    <w:rsid w:val="002D0CF9"/>
    <w:rsid w:val="002E6A8C"/>
    <w:rsid w:val="002F0193"/>
    <w:rsid w:val="002F3A52"/>
    <w:rsid w:val="00310602"/>
    <w:rsid w:val="00315AEE"/>
    <w:rsid w:val="003177F3"/>
    <w:rsid w:val="00326266"/>
    <w:rsid w:val="003318C7"/>
    <w:rsid w:val="00345FAC"/>
    <w:rsid w:val="00346CB6"/>
    <w:rsid w:val="00351218"/>
    <w:rsid w:val="0035204D"/>
    <w:rsid w:val="00362B27"/>
    <w:rsid w:val="0038238B"/>
    <w:rsid w:val="003916F4"/>
    <w:rsid w:val="00391C6A"/>
    <w:rsid w:val="00393297"/>
    <w:rsid w:val="00397C64"/>
    <w:rsid w:val="003A3999"/>
    <w:rsid w:val="003A6120"/>
    <w:rsid w:val="003B2AF9"/>
    <w:rsid w:val="003C485B"/>
    <w:rsid w:val="003C65FB"/>
    <w:rsid w:val="003D1E5E"/>
    <w:rsid w:val="003D7C75"/>
    <w:rsid w:val="003F18AA"/>
    <w:rsid w:val="00400D2F"/>
    <w:rsid w:val="00405EE9"/>
    <w:rsid w:val="00432F95"/>
    <w:rsid w:val="004350D1"/>
    <w:rsid w:val="00440084"/>
    <w:rsid w:val="00442D9F"/>
    <w:rsid w:val="0045366C"/>
    <w:rsid w:val="00460D93"/>
    <w:rsid w:val="00470361"/>
    <w:rsid w:val="0047261F"/>
    <w:rsid w:val="00480EC4"/>
    <w:rsid w:val="0048715C"/>
    <w:rsid w:val="0048795C"/>
    <w:rsid w:val="00487B37"/>
    <w:rsid w:val="00494051"/>
    <w:rsid w:val="004B3BCE"/>
    <w:rsid w:val="004B6992"/>
    <w:rsid w:val="004C0382"/>
    <w:rsid w:val="004E26BA"/>
    <w:rsid w:val="004E49C5"/>
    <w:rsid w:val="004E53FB"/>
    <w:rsid w:val="00522186"/>
    <w:rsid w:val="0052767A"/>
    <w:rsid w:val="00555E21"/>
    <w:rsid w:val="00557F1F"/>
    <w:rsid w:val="005612C5"/>
    <w:rsid w:val="005810F4"/>
    <w:rsid w:val="0059436A"/>
    <w:rsid w:val="00595689"/>
    <w:rsid w:val="00597973"/>
    <w:rsid w:val="005A006C"/>
    <w:rsid w:val="005A2E81"/>
    <w:rsid w:val="005A658D"/>
    <w:rsid w:val="005C2E46"/>
    <w:rsid w:val="005C355F"/>
    <w:rsid w:val="005C3B78"/>
    <w:rsid w:val="005C5B96"/>
    <w:rsid w:val="005D163B"/>
    <w:rsid w:val="005E4A12"/>
    <w:rsid w:val="005F712D"/>
    <w:rsid w:val="00611AB5"/>
    <w:rsid w:val="00614B73"/>
    <w:rsid w:val="00617FD8"/>
    <w:rsid w:val="00621208"/>
    <w:rsid w:val="00632F23"/>
    <w:rsid w:val="00647119"/>
    <w:rsid w:val="00657D2B"/>
    <w:rsid w:val="00685998"/>
    <w:rsid w:val="00687D47"/>
    <w:rsid w:val="006A41A7"/>
    <w:rsid w:val="006B03DF"/>
    <w:rsid w:val="006B0C14"/>
    <w:rsid w:val="006B1FE6"/>
    <w:rsid w:val="006C0BA6"/>
    <w:rsid w:val="006D186A"/>
    <w:rsid w:val="006D1AD1"/>
    <w:rsid w:val="006D3C60"/>
    <w:rsid w:val="006E07AC"/>
    <w:rsid w:val="006F6E1D"/>
    <w:rsid w:val="006F785A"/>
    <w:rsid w:val="007042F9"/>
    <w:rsid w:val="00714DE1"/>
    <w:rsid w:val="007166C4"/>
    <w:rsid w:val="00721409"/>
    <w:rsid w:val="00722333"/>
    <w:rsid w:val="00722E9C"/>
    <w:rsid w:val="00730A7D"/>
    <w:rsid w:val="007362A8"/>
    <w:rsid w:val="00752FC1"/>
    <w:rsid w:val="00760B2B"/>
    <w:rsid w:val="00773172"/>
    <w:rsid w:val="007840BF"/>
    <w:rsid w:val="007918C3"/>
    <w:rsid w:val="00792562"/>
    <w:rsid w:val="007965EA"/>
    <w:rsid w:val="007A46BE"/>
    <w:rsid w:val="007B2A00"/>
    <w:rsid w:val="007E53ED"/>
    <w:rsid w:val="00801213"/>
    <w:rsid w:val="008052AF"/>
    <w:rsid w:val="008109F6"/>
    <w:rsid w:val="00812A3E"/>
    <w:rsid w:val="00826C1E"/>
    <w:rsid w:val="008379F0"/>
    <w:rsid w:val="008428FF"/>
    <w:rsid w:val="0085127D"/>
    <w:rsid w:val="00857222"/>
    <w:rsid w:val="00863ED5"/>
    <w:rsid w:val="00871662"/>
    <w:rsid w:val="00877340"/>
    <w:rsid w:val="008811C2"/>
    <w:rsid w:val="008912C2"/>
    <w:rsid w:val="008930DB"/>
    <w:rsid w:val="00896BA1"/>
    <w:rsid w:val="008977D6"/>
    <w:rsid w:val="008A6060"/>
    <w:rsid w:val="008B1670"/>
    <w:rsid w:val="008B46D9"/>
    <w:rsid w:val="008B53C4"/>
    <w:rsid w:val="008C29FA"/>
    <w:rsid w:val="008C61B3"/>
    <w:rsid w:val="008F4311"/>
    <w:rsid w:val="009078CF"/>
    <w:rsid w:val="009161C4"/>
    <w:rsid w:val="009171A4"/>
    <w:rsid w:val="00943997"/>
    <w:rsid w:val="009547B2"/>
    <w:rsid w:val="00992536"/>
    <w:rsid w:val="00992D48"/>
    <w:rsid w:val="009B023D"/>
    <w:rsid w:val="009B23DC"/>
    <w:rsid w:val="009B402F"/>
    <w:rsid w:val="009D3485"/>
    <w:rsid w:val="009D6E8F"/>
    <w:rsid w:val="009F3122"/>
    <w:rsid w:val="00A02429"/>
    <w:rsid w:val="00A0408B"/>
    <w:rsid w:val="00A07FAE"/>
    <w:rsid w:val="00A137A2"/>
    <w:rsid w:val="00A17961"/>
    <w:rsid w:val="00A20657"/>
    <w:rsid w:val="00A21F2B"/>
    <w:rsid w:val="00A2460A"/>
    <w:rsid w:val="00A263A0"/>
    <w:rsid w:val="00A3288D"/>
    <w:rsid w:val="00A368FC"/>
    <w:rsid w:val="00A42A13"/>
    <w:rsid w:val="00A445C3"/>
    <w:rsid w:val="00A450CA"/>
    <w:rsid w:val="00A45A2E"/>
    <w:rsid w:val="00A55F97"/>
    <w:rsid w:val="00A85B99"/>
    <w:rsid w:val="00A87B20"/>
    <w:rsid w:val="00A96871"/>
    <w:rsid w:val="00AA090E"/>
    <w:rsid w:val="00AA1700"/>
    <w:rsid w:val="00AA175E"/>
    <w:rsid w:val="00AA24D5"/>
    <w:rsid w:val="00AA5CFF"/>
    <w:rsid w:val="00AB2F51"/>
    <w:rsid w:val="00AB435B"/>
    <w:rsid w:val="00AB5BD1"/>
    <w:rsid w:val="00AC1153"/>
    <w:rsid w:val="00AE42F2"/>
    <w:rsid w:val="00AF6441"/>
    <w:rsid w:val="00B024E2"/>
    <w:rsid w:val="00B12765"/>
    <w:rsid w:val="00B30062"/>
    <w:rsid w:val="00B30CBE"/>
    <w:rsid w:val="00B43C01"/>
    <w:rsid w:val="00B64397"/>
    <w:rsid w:val="00B751E0"/>
    <w:rsid w:val="00B81121"/>
    <w:rsid w:val="00B84157"/>
    <w:rsid w:val="00B8586B"/>
    <w:rsid w:val="00B93BB2"/>
    <w:rsid w:val="00BA76C7"/>
    <w:rsid w:val="00BB131E"/>
    <w:rsid w:val="00BC47A3"/>
    <w:rsid w:val="00C00614"/>
    <w:rsid w:val="00C01DDB"/>
    <w:rsid w:val="00C12AB1"/>
    <w:rsid w:val="00C15F82"/>
    <w:rsid w:val="00C165FD"/>
    <w:rsid w:val="00C179EA"/>
    <w:rsid w:val="00C32EF0"/>
    <w:rsid w:val="00C42FE2"/>
    <w:rsid w:val="00C541BB"/>
    <w:rsid w:val="00C5750F"/>
    <w:rsid w:val="00C730F1"/>
    <w:rsid w:val="00C92E65"/>
    <w:rsid w:val="00C93977"/>
    <w:rsid w:val="00CA2136"/>
    <w:rsid w:val="00CA2CEB"/>
    <w:rsid w:val="00CB4C70"/>
    <w:rsid w:val="00CC587F"/>
    <w:rsid w:val="00CC7BD5"/>
    <w:rsid w:val="00CD45C5"/>
    <w:rsid w:val="00CF4A39"/>
    <w:rsid w:val="00D065DD"/>
    <w:rsid w:val="00D14F79"/>
    <w:rsid w:val="00D162EB"/>
    <w:rsid w:val="00D24057"/>
    <w:rsid w:val="00D30A17"/>
    <w:rsid w:val="00D35BCB"/>
    <w:rsid w:val="00D35DB3"/>
    <w:rsid w:val="00D3779C"/>
    <w:rsid w:val="00D447C9"/>
    <w:rsid w:val="00D50E96"/>
    <w:rsid w:val="00D657B4"/>
    <w:rsid w:val="00D74CFF"/>
    <w:rsid w:val="00D8193E"/>
    <w:rsid w:val="00DA5195"/>
    <w:rsid w:val="00DA7779"/>
    <w:rsid w:val="00DB04B7"/>
    <w:rsid w:val="00DC0416"/>
    <w:rsid w:val="00DC0F86"/>
    <w:rsid w:val="00DD2C5D"/>
    <w:rsid w:val="00DE4EEF"/>
    <w:rsid w:val="00DE4EFA"/>
    <w:rsid w:val="00DE5BFB"/>
    <w:rsid w:val="00E108F5"/>
    <w:rsid w:val="00E44BA8"/>
    <w:rsid w:val="00E45750"/>
    <w:rsid w:val="00E4794B"/>
    <w:rsid w:val="00E529E0"/>
    <w:rsid w:val="00E63985"/>
    <w:rsid w:val="00E67169"/>
    <w:rsid w:val="00E70456"/>
    <w:rsid w:val="00E730C5"/>
    <w:rsid w:val="00E81671"/>
    <w:rsid w:val="00E81B69"/>
    <w:rsid w:val="00E81E49"/>
    <w:rsid w:val="00E866AF"/>
    <w:rsid w:val="00E91129"/>
    <w:rsid w:val="00E95154"/>
    <w:rsid w:val="00E95957"/>
    <w:rsid w:val="00E95A6D"/>
    <w:rsid w:val="00E96F85"/>
    <w:rsid w:val="00EB259F"/>
    <w:rsid w:val="00EC09F8"/>
    <w:rsid w:val="00EC50D7"/>
    <w:rsid w:val="00ED39E4"/>
    <w:rsid w:val="00EE22F7"/>
    <w:rsid w:val="00EF05E4"/>
    <w:rsid w:val="00F14879"/>
    <w:rsid w:val="00F24A01"/>
    <w:rsid w:val="00F25387"/>
    <w:rsid w:val="00F332FF"/>
    <w:rsid w:val="00F372C0"/>
    <w:rsid w:val="00F562A3"/>
    <w:rsid w:val="00F6262B"/>
    <w:rsid w:val="00F64860"/>
    <w:rsid w:val="00F73837"/>
    <w:rsid w:val="00F758FB"/>
    <w:rsid w:val="00F82B90"/>
    <w:rsid w:val="00FA3E3A"/>
    <w:rsid w:val="00FA47D0"/>
    <w:rsid w:val="00FA6838"/>
    <w:rsid w:val="00FB6525"/>
    <w:rsid w:val="00FC79AD"/>
    <w:rsid w:val="00FD54A8"/>
    <w:rsid w:val="00FE4018"/>
    <w:rsid w:val="00FE705C"/>
    <w:rsid w:val="024B212D"/>
    <w:rsid w:val="03EC4C33"/>
    <w:rsid w:val="04177279"/>
    <w:rsid w:val="04D670B9"/>
    <w:rsid w:val="04F717CD"/>
    <w:rsid w:val="05B1572A"/>
    <w:rsid w:val="064A52B2"/>
    <w:rsid w:val="072C51AC"/>
    <w:rsid w:val="073E2769"/>
    <w:rsid w:val="09217D70"/>
    <w:rsid w:val="095478CF"/>
    <w:rsid w:val="09EA01BD"/>
    <w:rsid w:val="09EC2246"/>
    <w:rsid w:val="0B424494"/>
    <w:rsid w:val="0C7A1930"/>
    <w:rsid w:val="0CDA3724"/>
    <w:rsid w:val="0D4C03F6"/>
    <w:rsid w:val="0DB30609"/>
    <w:rsid w:val="0F5C12EA"/>
    <w:rsid w:val="0F9867C7"/>
    <w:rsid w:val="111771D9"/>
    <w:rsid w:val="13E87925"/>
    <w:rsid w:val="14123237"/>
    <w:rsid w:val="14793BDC"/>
    <w:rsid w:val="150920F6"/>
    <w:rsid w:val="151760B5"/>
    <w:rsid w:val="15DA3B81"/>
    <w:rsid w:val="18141CEC"/>
    <w:rsid w:val="18814881"/>
    <w:rsid w:val="188B4A0E"/>
    <w:rsid w:val="191B1823"/>
    <w:rsid w:val="195845FF"/>
    <w:rsid w:val="1B1B643C"/>
    <w:rsid w:val="1BB60F28"/>
    <w:rsid w:val="1E4A7DD0"/>
    <w:rsid w:val="1F7278B9"/>
    <w:rsid w:val="214F7B9C"/>
    <w:rsid w:val="21EF4E9D"/>
    <w:rsid w:val="224F2912"/>
    <w:rsid w:val="22A345C2"/>
    <w:rsid w:val="231553E9"/>
    <w:rsid w:val="239B247D"/>
    <w:rsid w:val="23C85601"/>
    <w:rsid w:val="246A6939"/>
    <w:rsid w:val="25D20021"/>
    <w:rsid w:val="26F57CFD"/>
    <w:rsid w:val="273B28C8"/>
    <w:rsid w:val="2909769F"/>
    <w:rsid w:val="2CD7667A"/>
    <w:rsid w:val="36BD03CE"/>
    <w:rsid w:val="38DF7DC2"/>
    <w:rsid w:val="39432AD0"/>
    <w:rsid w:val="3B7D5D3B"/>
    <w:rsid w:val="3BE653D6"/>
    <w:rsid w:val="3D4A522D"/>
    <w:rsid w:val="3EE60236"/>
    <w:rsid w:val="3F006842"/>
    <w:rsid w:val="3F9F11AC"/>
    <w:rsid w:val="41593EFF"/>
    <w:rsid w:val="428E443E"/>
    <w:rsid w:val="440626AD"/>
    <w:rsid w:val="44073C55"/>
    <w:rsid w:val="471B0EA1"/>
    <w:rsid w:val="482266E2"/>
    <w:rsid w:val="486442FD"/>
    <w:rsid w:val="49714530"/>
    <w:rsid w:val="49817234"/>
    <w:rsid w:val="4A104A98"/>
    <w:rsid w:val="4C9C7330"/>
    <w:rsid w:val="4E233C6D"/>
    <w:rsid w:val="4E435781"/>
    <w:rsid w:val="4F2278A2"/>
    <w:rsid w:val="50E34A79"/>
    <w:rsid w:val="51495380"/>
    <w:rsid w:val="52404624"/>
    <w:rsid w:val="531E0686"/>
    <w:rsid w:val="53B84D91"/>
    <w:rsid w:val="54DE5B5E"/>
    <w:rsid w:val="551D75BD"/>
    <w:rsid w:val="56483BC4"/>
    <w:rsid w:val="56A11A88"/>
    <w:rsid w:val="57D90846"/>
    <w:rsid w:val="58C50BAB"/>
    <w:rsid w:val="5C017740"/>
    <w:rsid w:val="5DA42237"/>
    <w:rsid w:val="5F8566CC"/>
    <w:rsid w:val="60C33D54"/>
    <w:rsid w:val="61722422"/>
    <w:rsid w:val="626F298C"/>
    <w:rsid w:val="62BC34FF"/>
    <w:rsid w:val="64674897"/>
    <w:rsid w:val="653F0881"/>
    <w:rsid w:val="65A35EC9"/>
    <w:rsid w:val="660551C5"/>
    <w:rsid w:val="67ED0C43"/>
    <w:rsid w:val="68813D53"/>
    <w:rsid w:val="68B8795B"/>
    <w:rsid w:val="6921031A"/>
    <w:rsid w:val="693D03C6"/>
    <w:rsid w:val="697D4199"/>
    <w:rsid w:val="69DC38E8"/>
    <w:rsid w:val="6C6B1B67"/>
    <w:rsid w:val="6D4037AE"/>
    <w:rsid w:val="6EA76DDF"/>
    <w:rsid w:val="6FF91743"/>
    <w:rsid w:val="701E66E0"/>
    <w:rsid w:val="721C6173"/>
    <w:rsid w:val="73A6682A"/>
    <w:rsid w:val="76222B5B"/>
    <w:rsid w:val="778D0E0E"/>
    <w:rsid w:val="779F3F09"/>
    <w:rsid w:val="78774066"/>
    <w:rsid w:val="78ED7FC4"/>
    <w:rsid w:val="7A115140"/>
    <w:rsid w:val="7B161BF2"/>
    <w:rsid w:val="7B940D17"/>
    <w:rsid w:val="7C9B58E0"/>
    <w:rsid w:val="7E854757"/>
    <w:rsid w:val="7E8E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宋体"/>
      <w:sz w:val="22"/>
      <w:szCs w:val="22"/>
      <w:lang w:val="en-US" w:eastAsia="en-US" w:bidi="en-US"/>
    </w:rPr>
  </w:style>
  <w:style w:type="paragraph" w:styleId="2">
    <w:name w:val="heading 1"/>
    <w:basedOn w:val="1"/>
    <w:next w:val="1"/>
    <w:link w:val="29"/>
    <w:qFormat/>
    <w:uiPriority w:val="9"/>
    <w:pPr>
      <w:keepNext/>
      <w:keepLines/>
      <w:spacing w:before="480" w:after="0"/>
      <w:outlineLvl w:val="0"/>
    </w:pPr>
    <w:rPr>
      <w:rFonts w:ascii="Cambria" w:hAnsi="Cambria"/>
      <w:b/>
      <w:bCs/>
      <w:color w:val="365F91"/>
      <w:sz w:val="28"/>
      <w:szCs w:val="28"/>
    </w:rPr>
  </w:style>
  <w:style w:type="paragraph" w:styleId="3">
    <w:name w:val="heading 2"/>
    <w:basedOn w:val="1"/>
    <w:next w:val="1"/>
    <w:link w:val="32"/>
    <w:qFormat/>
    <w:uiPriority w:val="9"/>
    <w:pPr>
      <w:keepNext/>
      <w:keepLines/>
      <w:spacing w:before="200" w:after="0"/>
      <w:outlineLvl w:val="1"/>
    </w:pPr>
    <w:rPr>
      <w:rFonts w:ascii="Cambria" w:hAnsi="Cambria"/>
      <w:b/>
      <w:bCs/>
      <w:color w:val="4F81BD"/>
      <w:sz w:val="26"/>
      <w:szCs w:val="26"/>
    </w:rPr>
  </w:style>
  <w:style w:type="paragraph" w:styleId="4">
    <w:name w:val="heading 3"/>
    <w:basedOn w:val="1"/>
    <w:next w:val="1"/>
    <w:link w:val="28"/>
    <w:qFormat/>
    <w:uiPriority w:val="9"/>
    <w:pPr>
      <w:keepNext/>
      <w:keepLines/>
      <w:spacing w:before="200" w:after="0"/>
      <w:outlineLvl w:val="2"/>
    </w:pPr>
    <w:rPr>
      <w:rFonts w:ascii="Cambria" w:hAnsi="Cambria"/>
      <w:b/>
      <w:bCs/>
      <w:color w:val="4F81BD"/>
    </w:rPr>
  </w:style>
  <w:style w:type="paragraph" w:styleId="5">
    <w:name w:val="heading 4"/>
    <w:basedOn w:val="1"/>
    <w:next w:val="1"/>
    <w:link w:val="33"/>
    <w:qFormat/>
    <w:uiPriority w:val="9"/>
    <w:pPr>
      <w:keepNext/>
      <w:keepLines/>
      <w:spacing w:before="200" w:after="0"/>
      <w:outlineLvl w:val="3"/>
    </w:pPr>
    <w:rPr>
      <w:rFonts w:ascii="Cambria" w:hAnsi="Cambria"/>
      <w:b/>
      <w:bCs/>
      <w:i/>
      <w:iCs/>
      <w:color w:val="4F81BD"/>
    </w:rPr>
  </w:style>
  <w:style w:type="paragraph" w:styleId="6">
    <w:name w:val="heading 5"/>
    <w:basedOn w:val="1"/>
    <w:next w:val="1"/>
    <w:link w:val="34"/>
    <w:qFormat/>
    <w:uiPriority w:val="9"/>
    <w:pPr>
      <w:keepNext/>
      <w:keepLines/>
      <w:spacing w:before="200" w:after="0"/>
      <w:outlineLvl w:val="4"/>
    </w:pPr>
    <w:rPr>
      <w:rFonts w:ascii="Cambria" w:hAnsi="Cambria"/>
      <w:color w:val="243F60"/>
    </w:rPr>
  </w:style>
  <w:style w:type="paragraph" w:styleId="7">
    <w:name w:val="heading 6"/>
    <w:basedOn w:val="1"/>
    <w:next w:val="1"/>
    <w:link w:val="35"/>
    <w:qFormat/>
    <w:uiPriority w:val="9"/>
    <w:pPr>
      <w:keepNext/>
      <w:keepLines/>
      <w:spacing w:before="200" w:after="0"/>
      <w:outlineLvl w:val="5"/>
    </w:pPr>
    <w:rPr>
      <w:rFonts w:ascii="Cambria" w:hAnsi="Cambria"/>
      <w:i/>
      <w:iCs/>
      <w:color w:val="243F60"/>
    </w:rPr>
  </w:style>
  <w:style w:type="paragraph" w:styleId="8">
    <w:name w:val="heading 7"/>
    <w:basedOn w:val="1"/>
    <w:next w:val="1"/>
    <w:link w:val="36"/>
    <w:qFormat/>
    <w:uiPriority w:val="9"/>
    <w:pPr>
      <w:keepNext/>
      <w:keepLines/>
      <w:spacing w:before="200" w:after="0"/>
      <w:outlineLvl w:val="6"/>
    </w:pPr>
    <w:rPr>
      <w:rFonts w:ascii="Cambria" w:hAnsi="Cambria"/>
      <w:i/>
      <w:iCs/>
      <w:color w:val="404040"/>
    </w:rPr>
  </w:style>
  <w:style w:type="paragraph" w:styleId="9">
    <w:name w:val="heading 8"/>
    <w:basedOn w:val="1"/>
    <w:next w:val="1"/>
    <w:link w:val="37"/>
    <w:qFormat/>
    <w:uiPriority w:val="9"/>
    <w:pPr>
      <w:keepNext/>
      <w:keepLines/>
      <w:spacing w:before="200" w:after="0"/>
      <w:outlineLvl w:val="7"/>
    </w:pPr>
    <w:rPr>
      <w:rFonts w:ascii="Cambria" w:hAnsi="Cambria"/>
      <w:color w:val="4F81BD"/>
      <w:sz w:val="20"/>
      <w:szCs w:val="20"/>
    </w:rPr>
  </w:style>
  <w:style w:type="paragraph" w:styleId="10">
    <w:name w:val="heading 9"/>
    <w:basedOn w:val="1"/>
    <w:next w:val="1"/>
    <w:link w:val="38"/>
    <w:qFormat/>
    <w:uiPriority w:val="9"/>
    <w:pPr>
      <w:keepNext/>
      <w:keepLines/>
      <w:spacing w:before="200" w:after="0"/>
      <w:outlineLvl w:val="8"/>
    </w:pPr>
    <w:rPr>
      <w:rFonts w:ascii="Cambria" w:hAnsi="Cambria"/>
      <w:i/>
      <w:iCs/>
      <w:color w:val="404040"/>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35"/>
    <w:pPr>
      <w:spacing w:line="240" w:lineRule="auto"/>
    </w:pPr>
    <w:rPr>
      <w:b/>
      <w:bCs/>
      <w:color w:val="4F81BD"/>
      <w:sz w:val="18"/>
      <w:szCs w:val="18"/>
    </w:rPr>
  </w:style>
  <w:style w:type="paragraph" w:styleId="12">
    <w:name w:val="annotation text"/>
    <w:basedOn w:val="1"/>
    <w:semiHidden/>
    <w:unhideWhenUsed/>
    <w:qFormat/>
    <w:uiPriority w:val="99"/>
  </w:style>
  <w:style w:type="paragraph" w:styleId="13">
    <w:name w:val="Body Text"/>
    <w:basedOn w:val="1"/>
    <w:qFormat/>
    <w:uiPriority w:val="0"/>
    <w:pPr>
      <w:jc w:val="center"/>
    </w:pPr>
    <w:rPr>
      <w:rFonts w:eastAsia="楷体_GB2312"/>
      <w:b/>
      <w:bCs/>
      <w:sz w:val="44"/>
    </w:rPr>
  </w:style>
  <w:style w:type="paragraph" w:styleId="14">
    <w:name w:val="Block Text"/>
    <w:basedOn w:val="1"/>
    <w:qFormat/>
    <w:uiPriority w:val="0"/>
    <w:pPr>
      <w:spacing w:line="360" w:lineRule="auto"/>
      <w:ind w:left="432" w:right="430" w:rightChars="205"/>
    </w:pPr>
    <w:rPr>
      <w:rFonts w:ascii="宋体" w:hAnsi="宋体"/>
      <w:color w:val="000000"/>
    </w:rPr>
  </w:style>
  <w:style w:type="paragraph" w:styleId="15">
    <w:name w:val="Balloon Text"/>
    <w:basedOn w:val="1"/>
    <w:link w:val="53"/>
    <w:qFormat/>
    <w:uiPriority w:val="99"/>
    <w:pPr>
      <w:spacing w:after="0" w:line="240" w:lineRule="auto"/>
    </w:pPr>
    <w:rPr>
      <w:sz w:val="18"/>
      <w:szCs w:val="18"/>
    </w:rPr>
  </w:style>
  <w:style w:type="paragraph" w:styleId="16">
    <w:name w:val="footer"/>
    <w:basedOn w:val="1"/>
    <w:link w:val="52"/>
    <w:qFormat/>
    <w:uiPriority w:val="99"/>
    <w:pPr>
      <w:tabs>
        <w:tab w:val="center" w:pos="4153"/>
        <w:tab w:val="right" w:pos="8306"/>
      </w:tabs>
      <w:snapToGrid w:val="0"/>
      <w:spacing w:line="240" w:lineRule="auto"/>
    </w:pPr>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Subtitle"/>
    <w:basedOn w:val="1"/>
    <w:next w:val="1"/>
    <w:link w:val="39"/>
    <w:qFormat/>
    <w:uiPriority w:val="11"/>
    <w:rPr>
      <w:rFonts w:ascii="Cambria" w:hAnsi="Cambria"/>
      <w:i/>
      <w:iCs/>
      <w:color w:val="4F81BD"/>
      <w:spacing w:val="15"/>
      <w:sz w:val="24"/>
      <w:szCs w:val="24"/>
    </w:rPr>
  </w:style>
  <w:style w:type="paragraph" w:styleId="19">
    <w:name w:val="Normal (Web)"/>
    <w:basedOn w:val="1"/>
    <w:qFormat/>
    <w:uiPriority w:val="99"/>
    <w:pPr>
      <w:spacing w:before="100" w:beforeAutospacing="1" w:after="100" w:afterAutospacing="1" w:line="240" w:lineRule="auto"/>
    </w:pPr>
    <w:rPr>
      <w:rFonts w:ascii="宋体" w:hAnsi="宋体"/>
      <w:sz w:val="24"/>
      <w:szCs w:val="24"/>
      <w:lang w:eastAsia="zh-CN" w:bidi="ar-SA"/>
    </w:rPr>
  </w:style>
  <w:style w:type="paragraph" w:styleId="20">
    <w:name w:val="Title"/>
    <w:basedOn w:val="1"/>
    <w:next w:val="1"/>
    <w:link w:val="30"/>
    <w:qFormat/>
    <w:uiPriority w:val="0"/>
    <w:pPr>
      <w:pBdr>
        <w:bottom w:val="single" w:color="4F81BD" w:sz="8" w:space="4"/>
      </w:pBdr>
      <w:spacing w:after="300" w:line="240" w:lineRule="auto"/>
      <w:contextualSpacing/>
    </w:pPr>
    <w:rPr>
      <w:rFonts w:ascii="Cambria" w:hAnsi="Cambria"/>
      <w:color w:val="17365D"/>
      <w:spacing w:val="5"/>
      <w:kern w:val="28"/>
      <w:sz w:val="52"/>
      <w:szCs w:val="5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Emphasis"/>
    <w:basedOn w:val="23"/>
    <w:qFormat/>
    <w:uiPriority w:val="20"/>
    <w:rPr>
      <w:i/>
      <w:iCs/>
    </w:rPr>
  </w:style>
  <w:style w:type="character" w:styleId="27">
    <w:name w:val="Hyperlink"/>
    <w:basedOn w:val="23"/>
    <w:qFormat/>
    <w:uiPriority w:val="99"/>
    <w:rPr>
      <w:color w:val="0000FF"/>
      <w:u w:val="single"/>
    </w:rPr>
  </w:style>
  <w:style w:type="character" w:customStyle="1" w:styleId="28">
    <w:name w:val="标题 3 字符"/>
    <w:basedOn w:val="23"/>
    <w:link w:val="4"/>
    <w:qFormat/>
    <w:uiPriority w:val="9"/>
    <w:rPr>
      <w:rFonts w:ascii="Cambria" w:hAnsi="Cambria" w:eastAsia="宋体" w:cs="宋体"/>
      <w:b/>
      <w:bCs/>
      <w:color w:val="4F81BD"/>
    </w:rPr>
  </w:style>
  <w:style w:type="character" w:customStyle="1" w:styleId="29">
    <w:name w:val="标题 1 字符"/>
    <w:basedOn w:val="23"/>
    <w:link w:val="2"/>
    <w:qFormat/>
    <w:uiPriority w:val="9"/>
    <w:rPr>
      <w:rFonts w:ascii="Cambria" w:hAnsi="Cambria" w:eastAsia="宋体" w:cs="宋体"/>
      <w:b/>
      <w:bCs/>
      <w:color w:val="365F91"/>
      <w:sz w:val="28"/>
      <w:szCs w:val="28"/>
    </w:rPr>
  </w:style>
  <w:style w:type="character" w:customStyle="1" w:styleId="30">
    <w:name w:val="标题 字符"/>
    <w:basedOn w:val="23"/>
    <w:link w:val="20"/>
    <w:qFormat/>
    <w:uiPriority w:val="0"/>
    <w:rPr>
      <w:rFonts w:ascii="Cambria" w:hAnsi="Cambria" w:eastAsia="宋体" w:cs="宋体"/>
      <w:color w:val="17365D"/>
      <w:spacing w:val="5"/>
      <w:kern w:val="28"/>
      <w:sz w:val="52"/>
      <w:szCs w:val="52"/>
    </w:rPr>
  </w:style>
  <w:style w:type="paragraph" w:customStyle="1" w:styleId="31">
    <w:name w:val="TOC 标题1"/>
    <w:basedOn w:val="2"/>
    <w:next w:val="1"/>
    <w:qFormat/>
    <w:uiPriority w:val="39"/>
    <w:pPr>
      <w:outlineLvl w:val="9"/>
    </w:pPr>
  </w:style>
  <w:style w:type="character" w:customStyle="1" w:styleId="32">
    <w:name w:val="标题 2 字符"/>
    <w:basedOn w:val="23"/>
    <w:link w:val="3"/>
    <w:qFormat/>
    <w:uiPriority w:val="9"/>
    <w:rPr>
      <w:rFonts w:ascii="Cambria" w:hAnsi="Cambria" w:eastAsia="宋体" w:cs="宋体"/>
      <w:b/>
      <w:bCs/>
      <w:color w:val="4F81BD"/>
      <w:sz w:val="26"/>
      <w:szCs w:val="26"/>
    </w:rPr>
  </w:style>
  <w:style w:type="character" w:customStyle="1" w:styleId="33">
    <w:name w:val="标题 4 字符"/>
    <w:basedOn w:val="23"/>
    <w:link w:val="5"/>
    <w:qFormat/>
    <w:uiPriority w:val="9"/>
    <w:rPr>
      <w:rFonts w:ascii="Cambria" w:hAnsi="Cambria" w:eastAsia="宋体" w:cs="宋体"/>
      <w:b/>
      <w:bCs/>
      <w:i/>
      <w:iCs/>
      <w:color w:val="4F81BD"/>
    </w:rPr>
  </w:style>
  <w:style w:type="character" w:customStyle="1" w:styleId="34">
    <w:name w:val="标题 5 字符"/>
    <w:basedOn w:val="23"/>
    <w:link w:val="6"/>
    <w:qFormat/>
    <w:uiPriority w:val="9"/>
    <w:rPr>
      <w:rFonts w:ascii="Cambria" w:hAnsi="Cambria" w:eastAsia="宋体" w:cs="宋体"/>
      <w:color w:val="243F60"/>
    </w:rPr>
  </w:style>
  <w:style w:type="character" w:customStyle="1" w:styleId="35">
    <w:name w:val="标题 6 字符"/>
    <w:basedOn w:val="23"/>
    <w:link w:val="7"/>
    <w:qFormat/>
    <w:uiPriority w:val="9"/>
    <w:rPr>
      <w:rFonts w:ascii="Cambria" w:hAnsi="Cambria" w:eastAsia="宋体" w:cs="宋体"/>
      <w:i/>
      <w:iCs/>
      <w:color w:val="243F60"/>
    </w:rPr>
  </w:style>
  <w:style w:type="character" w:customStyle="1" w:styleId="36">
    <w:name w:val="标题 7 字符"/>
    <w:basedOn w:val="23"/>
    <w:link w:val="8"/>
    <w:qFormat/>
    <w:uiPriority w:val="9"/>
    <w:rPr>
      <w:rFonts w:ascii="Cambria" w:hAnsi="Cambria" w:eastAsia="宋体" w:cs="宋体"/>
      <w:i/>
      <w:iCs/>
      <w:color w:val="404040"/>
    </w:rPr>
  </w:style>
  <w:style w:type="character" w:customStyle="1" w:styleId="37">
    <w:name w:val="标题 8 字符"/>
    <w:basedOn w:val="23"/>
    <w:link w:val="9"/>
    <w:qFormat/>
    <w:uiPriority w:val="9"/>
    <w:rPr>
      <w:rFonts w:ascii="Cambria" w:hAnsi="Cambria" w:eastAsia="宋体" w:cs="宋体"/>
      <w:color w:val="4F81BD"/>
      <w:sz w:val="20"/>
      <w:szCs w:val="20"/>
    </w:rPr>
  </w:style>
  <w:style w:type="character" w:customStyle="1" w:styleId="38">
    <w:name w:val="标题 9 字符"/>
    <w:basedOn w:val="23"/>
    <w:link w:val="10"/>
    <w:qFormat/>
    <w:uiPriority w:val="9"/>
    <w:rPr>
      <w:rFonts w:ascii="Cambria" w:hAnsi="Cambria" w:eastAsia="宋体" w:cs="宋体"/>
      <w:i/>
      <w:iCs/>
      <w:color w:val="404040"/>
      <w:sz w:val="20"/>
      <w:szCs w:val="20"/>
    </w:rPr>
  </w:style>
  <w:style w:type="character" w:customStyle="1" w:styleId="39">
    <w:name w:val="副标题 字符"/>
    <w:basedOn w:val="23"/>
    <w:link w:val="18"/>
    <w:qFormat/>
    <w:uiPriority w:val="11"/>
    <w:rPr>
      <w:rFonts w:ascii="Cambria" w:hAnsi="Cambria" w:eastAsia="宋体" w:cs="宋体"/>
      <w:i/>
      <w:iCs/>
      <w:color w:val="4F81BD"/>
      <w:spacing w:val="15"/>
      <w:sz w:val="24"/>
      <w:szCs w:val="24"/>
    </w:rPr>
  </w:style>
  <w:style w:type="paragraph" w:styleId="40">
    <w:name w:val="No Spacing"/>
    <w:qFormat/>
    <w:uiPriority w:val="1"/>
    <w:rPr>
      <w:rFonts w:ascii="Calibri" w:hAnsi="Calibri" w:eastAsia="宋体" w:cs="宋体"/>
      <w:sz w:val="22"/>
      <w:szCs w:val="22"/>
      <w:lang w:val="en-US" w:eastAsia="en-US" w:bidi="en-US"/>
    </w:rPr>
  </w:style>
  <w:style w:type="paragraph" w:styleId="41">
    <w:name w:val="List Paragraph"/>
    <w:basedOn w:val="1"/>
    <w:qFormat/>
    <w:uiPriority w:val="34"/>
    <w:pPr>
      <w:ind w:left="720"/>
      <w:contextualSpacing/>
    </w:pPr>
  </w:style>
  <w:style w:type="paragraph" w:styleId="42">
    <w:name w:val="Quote"/>
    <w:basedOn w:val="1"/>
    <w:next w:val="1"/>
    <w:link w:val="43"/>
    <w:qFormat/>
    <w:uiPriority w:val="29"/>
    <w:rPr>
      <w:i/>
      <w:iCs/>
      <w:color w:val="000000"/>
    </w:rPr>
  </w:style>
  <w:style w:type="character" w:customStyle="1" w:styleId="43">
    <w:name w:val="引用 字符"/>
    <w:basedOn w:val="23"/>
    <w:link w:val="42"/>
    <w:qFormat/>
    <w:uiPriority w:val="29"/>
    <w:rPr>
      <w:i/>
      <w:iCs/>
      <w:color w:val="000000"/>
    </w:rPr>
  </w:style>
  <w:style w:type="paragraph" w:styleId="44">
    <w:name w:val="Intense Quote"/>
    <w:basedOn w:val="1"/>
    <w:next w:val="1"/>
    <w:link w:val="45"/>
    <w:qFormat/>
    <w:uiPriority w:val="30"/>
    <w:pPr>
      <w:pBdr>
        <w:bottom w:val="single" w:color="4F81BD" w:sz="4" w:space="4"/>
      </w:pBdr>
      <w:spacing w:before="200" w:after="280"/>
      <w:ind w:left="936" w:right="936"/>
    </w:pPr>
    <w:rPr>
      <w:b/>
      <w:bCs/>
      <w:i/>
      <w:iCs/>
      <w:color w:val="4F81BD"/>
    </w:rPr>
  </w:style>
  <w:style w:type="character" w:customStyle="1" w:styleId="45">
    <w:name w:val="明显引用 字符"/>
    <w:basedOn w:val="23"/>
    <w:link w:val="44"/>
    <w:qFormat/>
    <w:uiPriority w:val="30"/>
    <w:rPr>
      <w:b/>
      <w:bCs/>
      <w:i/>
      <w:iCs/>
      <w:color w:val="4F81BD"/>
    </w:rPr>
  </w:style>
  <w:style w:type="character" w:customStyle="1" w:styleId="46">
    <w:name w:val="不明显强调1"/>
    <w:basedOn w:val="23"/>
    <w:qFormat/>
    <w:uiPriority w:val="19"/>
    <w:rPr>
      <w:i/>
      <w:iCs/>
      <w:color w:val="808080"/>
    </w:rPr>
  </w:style>
  <w:style w:type="character" w:customStyle="1" w:styleId="47">
    <w:name w:val="明显强调1"/>
    <w:basedOn w:val="23"/>
    <w:qFormat/>
    <w:uiPriority w:val="21"/>
    <w:rPr>
      <w:b/>
      <w:bCs/>
      <w:i/>
      <w:iCs/>
      <w:color w:val="4F81BD"/>
    </w:rPr>
  </w:style>
  <w:style w:type="character" w:customStyle="1" w:styleId="48">
    <w:name w:val="不明显参考1"/>
    <w:basedOn w:val="23"/>
    <w:qFormat/>
    <w:uiPriority w:val="31"/>
    <w:rPr>
      <w:smallCaps/>
      <w:color w:val="C0504D"/>
      <w:u w:val="single"/>
    </w:rPr>
  </w:style>
  <w:style w:type="character" w:customStyle="1" w:styleId="49">
    <w:name w:val="明显参考1"/>
    <w:basedOn w:val="23"/>
    <w:qFormat/>
    <w:uiPriority w:val="32"/>
    <w:rPr>
      <w:b/>
      <w:bCs/>
      <w:smallCaps/>
      <w:color w:val="C0504D"/>
      <w:spacing w:val="5"/>
      <w:u w:val="single"/>
    </w:rPr>
  </w:style>
  <w:style w:type="character" w:customStyle="1" w:styleId="50">
    <w:name w:val="书籍标题1"/>
    <w:basedOn w:val="23"/>
    <w:qFormat/>
    <w:uiPriority w:val="33"/>
    <w:rPr>
      <w:b/>
      <w:bCs/>
      <w:smallCaps/>
      <w:spacing w:val="5"/>
    </w:rPr>
  </w:style>
  <w:style w:type="character" w:customStyle="1" w:styleId="51">
    <w:name w:val="页眉 字符"/>
    <w:basedOn w:val="23"/>
    <w:link w:val="17"/>
    <w:qFormat/>
    <w:uiPriority w:val="99"/>
    <w:rPr>
      <w:sz w:val="18"/>
      <w:szCs w:val="18"/>
    </w:rPr>
  </w:style>
  <w:style w:type="character" w:customStyle="1" w:styleId="52">
    <w:name w:val="页脚 字符"/>
    <w:basedOn w:val="23"/>
    <w:link w:val="16"/>
    <w:qFormat/>
    <w:uiPriority w:val="99"/>
    <w:rPr>
      <w:sz w:val="18"/>
      <w:szCs w:val="18"/>
    </w:rPr>
  </w:style>
  <w:style w:type="character" w:customStyle="1" w:styleId="53">
    <w:name w:val="批注框文本 字符"/>
    <w:basedOn w:val="23"/>
    <w:link w:val="15"/>
    <w:qFormat/>
    <w:uiPriority w:val="99"/>
    <w:rPr>
      <w:sz w:val="18"/>
      <w:szCs w:val="18"/>
    </w:rPr>
  </w:style>
  <w:style w:type="paragraph" w:customStyle="1" w:styleId="54">
    <w:name w:val="Char1 Char Char Char Char Char Char"/>
    <w:basedOn w:val="1"/>
    <w:qFormat/>
    <w:uiPriority w:val="0"/>
    <w:pPr>
      <w:widowControl w:val="0"/>
      <w:spacing w:after="0" w:line="240" w:lineRule="auto"/>
      <w:jc w:val="both"/>
    </w:pPr>
    <w:rPr>
      <w:rFonts w:ascii="Tahoma" w:hAnsi="Tahoma" w:cs="Times New Roman"/>
      <w:kern w:val="2"/>
      <w:sz w:val="24"/>
      <w:szCs w:val="20"/>
      <w:lang w:eastAsia="zh-CN" w:bidi="ar-SA"/>
    </w:rPr>
  </w:style>
  <w:style w:type="character" w:customStyle="1" w:styleId="55">
    <w:name w:val="apple-converted-space"/>
    <w:basedOn w:val="23"/>
    <w:qFormat/>
    <w:uiPriority w:val="0"/>
  </w:style>
  <w:style w:type="paragraph" w:customStyle="1" w:styleId="56">
    <w:name w:val="Char1 Char Char Char Char Char Char1"/>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7">
    <w:name w:val="Char1 Char Char Char Char Char Char2"/>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8">
    <w:name w:val="Char1 Char Char Char Char Char Char3"/>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9">
    <w:name w:val="Char1 Char Char Char Char Char Char4"/>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0">
    <w:name w:val="Char1 Char Char Char Char Char Char5"/>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1">
    <w:name w:val="Char1 Char Char Char Char Char Char6"/>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2">
    <w:name w:val="Char1 Char Char Char Char Char Char7"/>
    <w:basedOn w:val="1"/>
    <w:qFormat/>
    <w:uiPriority w:val="0"/>
    <w:pPr>
      <w:widowControl w:val="0"/>
      <w:spacing w:after="0" w:line="240" w:lineRule="auto"/>
      <w:jc w:val="both"/>
    </w:pPr>
    <w:rPr>
      <w:rFonts w:ascii="Tahoma" w:hAnsi="Tahoma" w:cs="Times New Roman"/>
      <w:kern w:val="2"/>
      <w:sz w:val="24"/>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411F9-A081-4007-9D9C-1A474BF8147A}">
  <ds:schemaRefs/>
</ds:datastoreItem>
</file>

<file path=docProps/app.xml><?xml version="1.0" encoding="utf-8"?>
<Properties xmlns="http://schemas.openxmlformats.org/officeDocument/2006/extended-properties" xmlns:vt="http://schemas.openxmlformats.org/officeDocument/2006/docPropsVTypes">
  <Template>Normal</Template>
  <Pages>21</Pages>
  <Words>1747</Words>
  <Characters>9960</Characters>
  <Lines>83</Lines>
  <Paragraphs>23</Paragraphs>
  <TotalTime>48</TotalTime>
  <ScaleCrop>false</ScaleCrop>
  <LinksUpToDate>false</LinksUpToDate>
  <CharactersWithSpaces>11684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2018-08-28T08:33:00Z</dcterms:created>
  <dc:creator>余忠</dc:creator>
  <cp:lastModifiedBy>邱海慧</cp:lastModifiedBy>
  <cp:lastPrinted>2022-11-08T18:23:00Z</cp:lastPrinted>
  <dcterms:modified xsi:type="dcterms:W3CDTF">2023-04-17T02:13:46Z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2F5721D848974D56848AF98C4919FFFD</vt:lpwstr>
  </property>
</Properties>
</file>