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color w:val="auto"/>
          <w:spacing w:val="20"/>
          <w:sz w:val="84"/>
          <w:szCs w:val="84"/>
          <w:highlight w:val="none"/>
        </w:rPr>
      </w:pPr>
      <w:bookmarkStart w:id="307" w:name="_GoBack"/>
      <w:bookmarkEnd w:id="307"/>
      <w:r>
        <w:rPr>
          <w:rFonts w:hint="eastAsia" w:ascii="宋体" w:hAnsi="宋体" w:eastAsia="宋体" w:cs="宋体"/>
          <w:b/>
          <w:bCs/>
          <w:color w:val="auto"/>
          <w:spacing w:val="20"/>
          <w:sz w:val="84"/>
          <w:szCs w:val="84"/>
          <w:highlight w:val="none"/>
        </w:rPr>
        <w:t>温州市国有企业采购</w:t>
      </w:r>
    </w:p>
    <w:p>
      <w:pPr>
        <w:ind w:firstLine="2357" w:firstLineChars="235"/>
        <w:rPr>
          <w:rFonts w:hint="eastAsia" w:ascii="宋体" w:hAnsi="宋体" w:eastAsia="宋体" w:cs="宋体"/>
          <w:b/>
          <w:bCs/>
          <w:color w:val="auto"/>
          <w:spacing w:val="140"/>
          <w:sz w:val="72"/>
          <w:highlight w:val="none"/>
        </w:rPr>
      </w:pPr>
    </w:p>
    <w:p>
      <w:pPr>
        <w:spacing w:line="360" w:lineRule="exact"/>
        <w:jc w:val="center"/>
        <w:rPr>
          <w:rFonts w:hint="eastAsia" w:ascii="宋体" w:hAnsi="宋体" w:eastAsia="宋体" w:cs="宋体"/>
          <w:b/>
          <w:bCs/>
          <w:color w:val="auto"/>
          <w:spacing w:val="140"/>
          <w:sz w:val="72"/>
          <w:highlight w:val="none"/>
        </w:rPr>
      </w:pPr>
    </w:p>
    <w:p>
      <w:pPr>
        <w:spacing w:line="900" w:lineRule="exact"/>
        <w:jc w:val="center"/>
        <w:rPr>
          <w:rFonts w:hint="eastAsia" w:ascii="宋体" w:hAnsi="宋体" w:eastAsia="宋体" w:cs="宋体"/>
          <w:b/>
          <w:bCs/>
          <w:color w:val="auto"/>
          <w:spacing w:val="140"/>
          <w:sz w:val="84"/>
          <w:szCs w:val="84"/>
          <w:highlight w:val="none"/>
        </w:rPr>
      </w:pPr>
      <w:r>
        <w:rPr>
          <w:rFonts w:hint="eastAsia" w:ascii="宋体" w:hAnsi="宋体" w:eastAsia="宋体" w:cs="宋体"/>
          <w:b/>
          <w:bCs/>
          <w:color w:val="auto"/>
          <w:spacing w:val="140"/>
          <w:sz w:val="84"/>
          <w:szCs w:val="84"/>
          <w:highlight w:val="none"/>
        </w:rPr>
        <w:t xml:space="preserve"> 采 购 文 件</w:t>
      </w:r>
    </w:p>
    <w:p>
      <w:pPr>
        <w:spacing w:line="400" w:lineRule="exact"/>
        <w:jc w:val="center"/>
        <w:rPr>
          <w:rFonts w:hint="eastAsia" w:ascii="宋体" w:hAnsi="宋体" w:eastAsia="宋体" w:cs="宋体"/>
          <w:b/>
          <w:bCs/>
          <w:color w:val="auto"/>
          <w:sz w:val="32"/>
          <w:szCs w:val="32"/>
          <w:highlight w:val="none"/>
        </w:rPr>
      </w:pPr>
    </w:p>
    <w:p>
      <w:pPr>
        <w:spacing w:line="400" w:lineRule="exact"/>
        <w:jc w:val="center"/>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24"/>
          <w:highlight w:val="none"/>
        </w:rPr>
      </w:pPr>
    </w:p>
    <w:p>
      <w:pPr>
        <w:ind w:firstLine="1140" w:firstLineChars="300"/>
        <w:rPr>
          <w:rFonts w:hint="eastAsia" w:ascii="宋体" w:hAnsi="宋体" w:eastAsia="宋体" w:cs="宋体"/>
          <w:color w:val="auto"/>
          <w:spacing w:val="40"/>
          <w:sz w:val="30"/>
          <w:szCs w:val="30"/>
          <w:highlight w:val="none"/>
        </w:rPr>
      </w:pPr>
    </w:p>
    <w:p>
      <w:pPr>
        <w:spacing w:line="600" w:lineRule="exact"/>
        <w:ind w:firstLine="1264" w:firstLineChars="350"/>
        <w:rPr>
          <w:rFonts w:hint="eastAsia" w:ascii="宋体" w:hAnsi="宋体" w:eastAsia="宋体" w:cs="宋体"/>
          <w:b/>
          <w:bCs/>
          <w:color w:val="auto"/>
          <w:spacing w:val="30"/>
          <w:sz w:val="30"/>
          <w:szCs w:val="30"/>
          <w:highlight w:val="none"/>
        </w:rPr>
      </w:pPr>
      <w:r>
        <w:rPr>
          <w:rFonts w:hint="eastAsia" w:ascii="宋体" w:hAnsi="宋体" w:eastAsia="宋体" w:cs="宋体"/>
          <w:b/>
          <w:bCs/>
          <w:color w:val="auto"/>
          <w:spacing w:val="30"/>
          <w:sz w:val="30"/>
          <w:szCs w:val="30"/>
          <w:highlight w:val="none"/>
        </w:rPr>
        <w:t>项 目 编 号：</w:t>
      </w:r>
      <w:r>
        <w:rPr>
          <w:rFonts w:hint="eastAsia" w:ascii="宋体" w:hAnsi="宋体" w:eastAsia="宋体" w:cs="宋体"/>
          <w:b/>
          <w:bCs/>
          <w:color w:val="auto"/>
          <w:spacing w:val="30"/>
          <w:sz w:val="30"/>
          <w:szCs w:val="30"/>
          <w:highlight w:val="none"/>
          <w:lang w:eastAsia="zh-CN"/>
        </w:rPr>
        <w:t>WGSS-TTJT-X-2023003</w:t>
      </w:r>
      <w:r>
        <w:rPr>
          <w:rFonts w:hint="eastAsia" w:ascii="宋体" w:hAnsi="宋体" w:eastAsia="宋体" w:cs="宋体"/>
          <w:b/>
          <w:bCs/>
          <w:color w:val="auto"/>
          <w:spacing w:val="30"/>
          <w:sz w:val="30"/>
          <w:szCs w:val="30"/>
          <w:highlight w:val="none"/>
        </w:rPr>
        <w:t xml:space="preserve"> </w:t>
      </w:r>
    </w:p>
    <w:p>
      <w:pPr>
        <w:spacing w:line="600" w:lineRule="exact"/>
        <w:ind w:left="3760" w:leftChars="607" w:hanging="2485" w:hangingChars="688"/>
        <w:rPr>
          <w:rFonts w:hint="eastAsia" w:ascii="宋体" w:hAnsi="宋体" w:eastAsia="宋体" w:cs="宋体"/>
          <w:b/>
          <w:bCs/>
          <w:color w:val="auto"/>
          <w:spacing w:val="30"/>
          <w:sz w:val="30"/>
          <w:szCs w:val="30"/>
          <w:highlight w:val="none"/>
          <w:lang w:val="en-US"/>
        </w:rPr>
      </w:pPr>
      <w:r>
        <w:rPr>
          <w:rFonts w:hint="eastAsia" w:ascii="宋体" w:hAnsi="宋体" w:eastAsia="宋体" w:cs="宋体"/>
          <w:b/>
          <w:bCs/>
          <w:color w:val="auto"/>
          <w:spacing w:val="30"/>
          <w:sz w:val="30"/>
          <w:szCs w:val="30"/>
          <w:highlight w:val="none"/>
        </w:rPr>
        <w:t>项 目 名 称：</w:t>
      </w:r>
      <w:r>
        <w:rPr>
          <w:rFonts w:hint="eastAsia" w:ascii="宋体" w:hAnsi="宋体" w:eastAsia="宋体" w:cs="宋体"/>
          <w:b/>
          <w:bCs/>
          <w:color w:val="auto"/>
          <w:kern w:val="0"/>
          <w:sz w:val="30"/>
          <w:szCs w:val="30"/>
          <w:highlight w:val="none"/>
          <w:lang w:eastAsia="zh-CN"/>
        </w:rPr>
        <w:t>2023年超短期融资券承销服务</w:t>
      </w:r>
    </w:p>
    <w:p>
      <w:pPr>
        <w:spacing w:line="600" w:lineRule="exact"/>
        <w:ind w:firstLine="1264" w:firstLineChars="350"/>
        <w:rPr>
          <w:rFonts w:hint="eastAsia" w:ascii="宋体" w:hAnsi="宋体" w:eastAsia="宋体" w:cs="宋体"/>
          <w:b/>
          <w:bCs/>
          <w:color w:val="auto"/>
          <w:spacing w:val="30"/>
          <w:sz w:val="30"/>
          <w:szCs w:val="30"/>
          <w:highlight w:val="none"/>
        </w:rPr>
      </w:pPr>
      <w:r>
        <w:rPr>
          <w:rFonts w:hint="eastAsia" w:ascii="宋体" w:hAnsi="宋体" w:eastAsia="宋体" w:cs="宋体"/>
          <w:b/>
          <w:bCs/>
          <w:color w:val="auto"/>
          <w:spacing w:val="30"/>
          <w:sz w:val="30"/>
          <w:szCs w:val="30"/>
          <w:highlight w:val="none"/>
        </w:rPr>
        <w:t>采 购 方 式：公开招标</w:t>
      </w:r>
    </w:p>
    <w:p>
      <w:pPr>
        <w:spacing w:line="600" w:lineRule="exact"/>
        <w:ind w:firstLine="1144" w:firstLineChars="300"/>
        <w:rPr>
          <w:rFonts w:hint="eastAsia" w:ascii="宋体" w:hAnsi="宋体" w:eastAsia="宋体" w:cs="宋体"/>
          <w:b/>
          <w:bCs/>
          <w:color w:val="auto"/>
          <w:spacing w:val="40"/>
          <w:sz w:val="30"/>
          <w:szCs w:val="30"/>
          <w:highlight w:val="none"/>
        </w:rPr>
      </w:pPr>
    </w:p>
    <w:p>
      <w:pPr>
        <w:spacing w:line="600" w:lineRule="exact"/>
        <w:ind w:firstLine="1144" w:firstLineChars="300"/>
        <w:rPr>
          <w:rFonts w:hint="eastAsia" w:ascii="宋体" w:hAnsi="宋体" w:eastAsia="宋体" w:cs="宋体"/>
          <w:b/>
          <w:bCs/>
          <w:color w:val="auto"/>
          <w:spacing w:val="40"/>
          <w:sz w:val="30"/>
          <w:szCs w:val="30"/>
          <w:highlight w:val="none"/>
        </w:rPr>
      </w:pPr>
    </w:p>
    <w:p>
      <w:pPr>
        <w:spacing w:line="600" w:lineRule="exact"/>
        <w:ind w:firstLine="1144" w:firstLineChars="300"/>
        <w:rPr>
          <w:rFonts w:hint="eastAsia" w:ascii="宋体" w:hAnsi="宋体" w:eastAsia="宋体" w:cs="宋体"/>
          <w:b/>
          <w:bCs/>
          <w:color w:val="auto"/>
          <w:spacing w:val="40"/>
          <w:sz w:val="30"/>
          <w:szCs w:val="30"/>
          <w:highlight w:val="none"/>
        </w:rPr>
      </w:pPr>
    </w:p>
    <w:p>
      <w:pPr>
        <w:spacing w:line="600" w:lineRule="exact"/>
        <w:ind w:firstLine="1144" w:firstLineChars="300"/>
        <w:rPr>
          <w:rFonts w:hint="eastAsia" w:ascii="宋体" w:hAnsi="宋体" w:eastAsia="宋体" w:cs="宋体"/>
          <w:b/>
          <w:bCs/>
          <w:color w:val="auto"/>
          <w:spacing w:val="40"/>
          <w:sz w:val="30"/>
          <w:szCs w:val="30"/>
          <w:highlight w:val="none"/>
        </w:rPr>
      </w:pPr>
    </w:p>
    <w:p>
      <w:pPr>
        <w:spacing w:line="600" w:lineRule="exact"/>
        <w:ind w:firstLine="1205" w:firstLineChars="40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 购 人:  温州市铁路与轨道交通投资集团有限公司</w:t>
      </w:r>
    </w:p>
    <w:p>
      <w:pPr>
        <w:spacing w:line="600" w:lineRule="exact"/>
        <w:ind w:firstLine="1205" w:firstLineChars="40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采购代理机构: </w:t>
      </w:r>
      <w:r>
        <w:rPr>
          <w:rFonts w:hint="eastAsia" w:ascii="宋体" w:hAnsi="宋体" w:eastAsia="宋体" w:cs="宋体"/>
          <w:b/>
          <w:bCs/>
          <w:color w:val="auto"/>
          <w:sz w:val="30"/>
          <w:szCs w:val="30"/>
          <w:highlight w:val="none"/>
          <w:lang w:eastAsia="zh-CN"/>
        </w:rPr>
        <w:t>浙江省成套招标代理有限公司</w:t>
      </w:r>
    </w:p>
    <w:p>
      <w:pPr>
        <w:spacing w:line="760" w:lineRule="exact"/>
        <w:ind w:left="753" w:hanging="753" w:hangingChars="250"/>
        <w:jc w:val="center"/>
        <w:rPr>
          <w:rFonts w:hint="eastAsia" w:ascii="宋体" w:hAnsi="宋体" w:eastAsia="宋体" w:cs="宋体"/>
          <w:b/>
          <w:bCs/>
          <w:color w:val="auto"/>
          <w:sz w:val="30"/>
          <w:szCs w:val="30"/>
          <w:highlight w:val="none"/>
        </w:rPr>
      </w:pPr>
    </w:p>
    <w:p>
      <w:pPr>
        <w:spacing w:line="760" w:lineRule="exact"/>
        <w:ind w:left="753" w:hanging="753" w:hangingChars="250"/>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u w:val="single"/>
        </w:rPr>
        <w:t>202</w:t>
      </w:r>
      <w:r>
        <w:rPr>
          <w:rFonts w:hint="eastAsia" w:ascii="宋体" w:hAnsi="宋体" w:eastAsia="宋体" w:cs="宋体"/>
          <w:b/>
          <w:bCs/>
          <w:color w:val="auto"/>
          <w:sz w:val="30"/>
          <w:szCs w:val="30"/>
          <w:highlight w:val="none"/>
          <w:u w:val="single"/>
          <w:lang w:val="en-US" w:eastAsia="zh-CN"/>
        </w:rPr>
        <w:t>3</w:t>
      </w:r>
      <w:r>
        <w:rPr>
          <w:rFonts w:hint="eastAsia" w:ascii="宋体" w:hAnsi="宋体" w:eastAsia="宋体" w:cs="宋体"/>
          <w:b/>
          <w:bCs/>
          <w:color w:val="auto"/>
          <w:sz w:val="30"/>
          <w:szCs w:val="30"/>
          <w:highlight w:val="none"/>
        </w:rPr>
        <w:t>年</w:t>
      </w:r>
      <w:r>
        <w:rPr>
          <w:rFonts w:hint="eastAsia" w:ascii="宋体" w:hAnsi="宋体" w:eastAsia="宋体" w:cs="宋体"/>
          <w:b/>
          <w:bCs/>
          <w:color w:val="auto"/>
          <w:sz w:val="30"/>
          <w:szCs w:val="30"/>
          <w:highlight w:val="none"/>
          <w:u w:val="single"/>
          <w:lang w:val="en-US" w:eastAsia="zh-CN"/>
        </w:rPr>
        <w:t>3</w:t>
      </w:r>
      <w:r>
        <w:rPr>
          <w:rFonts w:hint="eastAsia" w:ascii="宋体" w:hAnsi="宋体" w:eastAsia="宋体" w:cs="宋体"/>
          <w:b/>
          <w:bCs/>
          <w:color w:val="auto"/>
          <w:sz w:val="30"/>
          <w:szCs w:val="30"/>
          <w:highlight w:val="none"/>
        </w:rPr>
        <w:t>月</w:t>
      </w:r>
    </w:p>
    <w:p>
      <w:pP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rPr>
      </w:pPr>
    </w:p>
    <w:p>
      <w:pPr>
        <w:overflowPunct w:val="0"/>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r>
        <w:rPr>
          <w:rFonts w:hint="eastAsia" w:ascii="宋体" w:hAnsi="宋体" w:eastAsia="宋体" w:cs="宋体"/>
          <w:color w:val="auto"/>
          <w:sz w:val="36"/>
          <w:szCs w:val="36"/>
          <w:highlight w:val="none"/>
        </w:rPr>
        <w:t>目    录</w:t>
      </w:r>
    </w:p>
    <w:p>
      <w:pPr>
        <w:pStyle w:val="8"/>
        <w:ind w:firstLine="210"/>
        <w:rPr>
          <w:rFonts w:hint="eastAsia" w:ascii="宋体" w:hAnsi="宋体" w:eastAsia="宋体" w:cs="宋体"/>
          <w:color w:val="auto"/>
          <w:highlight w:val="none"/>
        </w:rPr>
      </w:pPr>
    </w:p>
    <w:p>
      <w:pPr>
        <w:pStyle w:val="23"/>
        <w:ind w:left="282" w:hanging="282"/>
        <w:rPr>
          <w:rFonts w:hint="eastAsia" w:ascii="宋体" w:hAnsi="宋体" w:eastAsia="宋体" w:cs="宋体"/>
          <w:b w:val="0"/>
          <w:bCs w:val="0"/>
          <w:color w:val="auto"/>
          <w:sz w:val="22"/>
          <w:szCs w:val="22"/>
          <w:highlight w:val="none"/>
        </w:rPr>
      </w:pPr>
      <w:r>
        <w:rPr>
          <w:rFonts w:hint="eastAsia" w:ascii="宋体" w:hAnsi="宋体" w:eastAsia="宋体" w:cs="宋体"/>
          <w:bCs/>
          <w:color w:val="auto"/>
          <w:sz w:val="22"/>
          <w:szCs w:val="22"/>
          <w:highlight w:val="none"/>
        </w:rPr>
        <w:fldChar w:fldCharType="begin"/>
      </w:r>
      <w:r>
        <w:rPr>
          <w:rStyle w:val="33"/>
          <w:rFonts w:hint="eastAsia" w:ascii="宋体" w:hAnsi="宋体" w:eastAsia="宋体" w:cs="宋体"/>
          <w:bCs/>
          <w:color w:val="auto"/>
          <w:sz w:val="22"/>
          <w:szCs w:val="22"/>
          <w:highlight w:val="none"/>
          <w:u w:val="none"/>
        </w:rPr>
        <w:instrText xml:space="preserve"> TOC \o "1-3" \h \z \u </w:instrText>
      </w:r>
      <w:r>
        <w:rPr>
          <w:rFonts w:hint="eastAsia" w:ascii="宋体" w:hAnsi="宋体" w:eastAsia="宋体" w:cs="宋体"/>
          <w:bCs/>
          <w:color w:val="auto"/>
          <w:sz w:val="22"/>
          <w:szCs w:val="22"/>
          <w:highlight w:val="none"/>
        </w:rPr>
        <w:fldChar w:fldCharType="separate"/>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"_Toc75948394"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温州市铁路与轨道交通投资集团有限公司关于</w:t>
      </w:r>
      <w:r>
        <w:rPr>
          <w:rStyle w:val="33"/>
          <w:rFonts w:hint="eastAsia" w:ascii="宋体" w:hAnsi="宋体" w:eastAsia="宋体" w:cs="宋体"/>
          <w:b w:val="0"/>
          <w:bCs w:val="0"/>
          <w:color w:val="auto"/>
          <w:sz w:val="22"/>
          <w:szCs w:val="22"/>
          <w:highlight w:val="none"/>
          <w:lang w:eastAsia="zh-CN"/>
        </w:rPr>
        <w:t>2023年超短期融资券承销服务项目</w:t>
      </w:r>
      <w:r>
        <w:rPr>
          <w:rStyle w:val="33"/>
          <w:rFonts w:hint="eastAsia" w:ascii="宋体" w:hAnsi="宋体" w:eastAsia="宋体" w:cs="宋体"/>
          <w:b w:val="0"/>
          <w:bCs w:val="0"/>
          <w:color w:val="auto"/>
          <w:sz w:val="22"/>
          <w:szCs w:val="22"/>
          <w:highlight w:val="none"/>
        </w:rPr>
        <w:t>采购公告</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_Toc75948394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3</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widowControl w:val="0"/>
        <w:wordWrap/>
        <w:adjustRightInd/>
        <w:snapToGrid/>
        <w:spacing w:line="480" w:lineRule="auto"/>
        <w:ind w:left="0" w:leftChars="0" w:right="0" w:firstLine="0" w:firstLineChars="0"/>
        <w:jc w:val="both"/>
        <w:textAlignment w:val="auto"/>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"_Toc75948395"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温州市铁路与轨道交通投资集团有限公司关于</w:t>
      </w:r>
      <w:r>
        <w:rPr>
          <w:rStyle w:val="33"/>
          <w:rFonts w:hint="eastAsia" w:ascii="宋体" w:hAnsi="宋体" w:eastAsia="宋体" w:cs="宋体"/>
          <w:b w:val="0"/>
          <w:bCs w:val="0"/>
          <w:color w:val="auto"/>
          <w:sz w:val="22"/>
          <w:szCs w:val="22"/>
          <w:highlight w:val="none"/>
          <w:lang w:eastAsia="zh-CN"/>
        </w:rPr>
        <w:t>2023年超短期融资券承销服务项目</w:t>
      </w:r>
      <w:r>
        <w:rPr>
          <w:rStyle w:val="33"/>
          <w:rFonts w:hint="eastAsia" w:ascii="宋体" w:hAnsi="宋体" w:eastAsia="宋体" w:cs="宋体"/>
          <w:b w:val="0"/>
          <w:bCs w:val="0"/>
          <w:color w:val="auto"/>
          <w:sz w:val="22"/>
          <w:szCs w:val="22"/>
          <w:highlight w:val="none"/>
        </w:rPr>
        <w:t>采购文件征求意见公示</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_Toc75948395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7</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"_Toc75948396"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投标供应商须知前附表</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_Toc75948396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8</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"_Toc75948397"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第一部分    投标供应商须知</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_Toc75948397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11</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"_Toc75948398"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一、  说明</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_Toc75948398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11</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"_Toc75948399"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二、 采购文件</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_Toc75948399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11</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"_Toc75948400"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 xml:space="preserve">三、 </w:t>
      </w:r>
      <w:r>
        <w:rPr>
          <w:rStyle w:val="33"/>
          <w:rFonts w:hint="eastAsia" w:ascii="宋体" w:hAnsi="宋体" w:eastAsia="宋体" w:cs="宋体"/>
          <w:b w:val="0"/>
          <w:bCs w:val="0"/>
          <w:color w:val="auto"/>
          <w:sz w:val="22"/>
          <w:szCs w:val="22"/>
          <w:highlight w:val="none"/>
          <w:lang w:eastAsia="zh-CN"/>
        </w:rPr>
        <w:t>投标文件</w:t>
      </w:r>
      <w:r>
        <w:rPr>
          <w:rStyle w:val="33"/>
          <w:rFonts w:hint="eastAsia" w:ascii="宋体" w:hAnsi="宋体" w:eastAsia="宋体" w:cs="宋体"/>
          <w:b w:val="0"/>
          <w:bCs w:val="0"/>
          <w:color w:val="auto"/>
          <w:sz w:val="22"/>
          <w:szCs w:val="22"/>
          <w:highlight w:val="none"/>
        </w:rPr>
        <w:t>的编制</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_Toc75948400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12</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"_Toc75948401"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 xml:space="preserve">四、 </w:t>
      </w:r>
      <w:r>
        <w:rPr>
          <w:rStyle w:val="33"/>
          <w:rFonts w:hint="eastAsia" w:ascii="宋体" w:hAnsi="宋体" w:eastAsia="宋体" w:cs="宋体"/>
          <w:b w:val="0"/>
          <w:bCs w:val="0"/>
          <w:color w:val="auto"/>
          <w:sz w:val="22"/>
          <w:szCs w:val="22"/>
          <w:highlight w:val="none"/>
          <w:lang w:eastAsia="zh-CN"/>
        </w:rPr>
        <w:t>投标文件</w:t>
      </w:r>
      <w:r>
        <w:rPr>
          <w:rStyle w:val="33"/>
          <w:rFonts w:hint="eastAsia" w:ascii="宋体" w:hAnsi="宋体" w:eastAsia="宋体" w:cs="宋体"/>
          <w:b w:val="0"/>
          <w:bCs w:val="0"/>
          <w:color w:val="auto"/>
          <w:sz w:val="22"/>
          <w:szCs w:val="22"/>
          <w:highlight w:val="none"/>
        </w:rPr>
        <w:t>的递交</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_Toc75948401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14</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"_Toc75948402"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五、 开标和评标</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_Toc75948402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15</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"_Toc75948403"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六、 授予合同</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_Toc75948403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18</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"_Toc75948404"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 xml:space="preserve">第二部分   </w:t>
      </w:r>
      <w:r>
        <w:rPr>
          <w:rStyle w:val="33"/>
          <w:rFonts w:hint="eastAsia" w:ascii="宋体" w:hAnsi="宋体" w:eastAsia="宋体" w:cs="宋体"/>
          <w:b w:val="0"/>
          <w:bCs w:val="0"/>
          <w:color w:val="auto"/>
          <w:sz w:val="22"/>
          <w:szCs w:val="22"/>
          <w:highlight w:val="none"/>
          <w:lang w:eastAsia="zh-CN"/>
        </w:rPr>
        <w:t>承销服务合作协议及承销协议</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_Toc75948404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19</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"_Toc75948405"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第三部分   附件</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_Toc75948405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38</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"_Toc75948406"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第四部分   采购内容及技术要求</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_Toc75948406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46</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pStyle w:val="23"/>
        <w:ind w:left="269" w:hanging="269"/>
        <w:rPr>
          <w:rFonts w:hint="eastAsia"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HYPERLINK  \l "_Toc75948407" </w:instrText>
      </w:r>
      <w:r>
        <w:rPr>
          <w:rFonts w:hint="eastAsia" w:ascii="宋体" w:hAnsi="宋体" w:eastAsia="宋体" w:cs="宋体"/>
          <w:b w:val="0"/>
          <w:bCs w:val="0"/>
          <w:color w:val="auto"/>
          <w:sz w:val="22"/>
          <w:szCs w:val="22"/>
          <w:highlight w:val="none"/>
        </w:rPr>
        <w:fldChar w:fldCharType="separate"/>
      </w:r>
      <w:r>
        <w:rPr>
          <w:rStyle w:val="33"/>
          <w:rFonts w:hint="eastAsia" w:ascii="宋体" w:hAnsi="宋体" w:eastAsia="宋体" w:cs="宋体"/>
          <w:b w:val="0"/>
          <w:bCs w:val="0"/>
          <w:color w:val="auto"/>
          <w:sz w:val="22"/>
          <w:szCs w:val="22"/>
          <w:highlight w:val="none"/>
        </w:rPr>
        <w:t>第五部分   评标原则及方法</w:t>
      </w:r>
      <w:r>
        <w:rPr>
          <w:rFonts w:hint="eastAsia" w:ascii="宋体" w:hAnsi="宋体" w:eastAsia="宋体" w:cs="宋体"/>
          <w:b w:val="0"/>
          <w:bCs w:val="0"/>
          <w:color w:val="auto"/>
          <w:sz w:val="22"/>
          <w:szCs w:val="22"/>
          <w:highlight w:val="none"/>
        </w:rPr>
        <w:tab/>
      </w:r>
      <w:r>
        <w:rPr>
          <w:rFonts w:hint="eastAsia" w:ascii="宋体" w:hAnsi="宋体" w:eastAsia="宋体" w:cs="宋体"/>
          <w:b w:val="0"/>
          <w:bCs w:val="0"/>
          <w:color w:val="auto"/>
          <w:sz w:val="22"/>
          <w:szCs w:val="22"/>
          <w:highlight w:val="none"/>
        </w:rPr>
        <w:fldChar w:fldCharType="begin"/>
      </w:r>
      <w:r>
        <w:rPr>
          <w:rFonts w:hint="eastAsia" w:ascii="宋体" w:hAnsi="宋体" w:eastAsia="宋体" w:cs="宋体"/>
          <w:b w:val="0"/>
          <w:bCs w:val="0"/>
          <w:color w:val="auto"/>
          <w:sz w:val="22"/>
          <w:szCs w:val="22"/>
          <w:highlight w:val="none"/>
        </w:rPr>
        <w:instrText xml:space="preserve"> PAGEREF _Toc75948407 \h </w:instrText>
      </w:r>
      <w:r>
        <w:rPr>
          <w:rFonts w:hint="eastAsia" w:ascii="宋体" w:hAnsi="宋体" w:eastAsia="宋体" w:cs="宋体"/>
          <w:b w:val="0"/>
          <w:bCs w:val="0"/>
          <w:color w:val="auto"/>
          <w:sz w:val="22"/>
          <w:szCs w:val="22"/>
          <w:highlight w:val="none"/>
        </w:rPr>
        <w:fldChar w:fldCharType="separate"/>
      </w:r>
      <w:r>
        <w:rPr>
          <w:rFonts w:hint="eastAsia" w:ascii="宋体" w:hAnsi="宋体" w:eastAsia="宋体" w:cs="宋体"/>
          <w:b w:val="0"/>
          <w:bCs w:val="0"/>
          <w:color w:val="auto"/>
          <w:sz w:val="22"/>
          <w:szCs w:val="22"/>
          <w:highlight w:val="none"/>
        </w:rPr>
        <w:t>48</w:t>
      </w:r>
      <w:r>
        <w:rPr>
          <w:rFonts w:hint="eastAsia"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fldChar w:fldCharType="end"/>
      </w:r>
    </w:p>
    <w:p>
      <w:pPr>
        <w:overflowPunct w:val="0"/>
        <w:spacing w:line="480" w:lineRule="auto"/>
        <w:rPr>
          <w:rStyle w:val="33"/>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rPr>
        <w:fldChar w:fldCharType="end"/>
      </w:r>
    </w:p>
    <w:p>
      <w:pPr>
        <w:overflowPunct w:val="0"/>
        <w:spacing w:line="48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注：采购文件中加“▲”且加下划线的条款，为采购的实质性要求和条件，着重提醒各投标供应商注意，并认真查看采购文件中的每一个条款及要求，因误读采购文件而造成的后果，采购人概不负责。</w:t>
      </w:r>
    </w:p>
    <w:p>
      <w:pPr>
        <w:pStyle w:val="2"/>
        <w:spacing w:line="360" w:lineRule="auto"/>
        <w:rPr>
          <w:rFonts w:hint="eastAsia" w:ascii="宋体" w:hAnsi="宋体" w:eastAsia="宋体" w:cs="宋体"/>
          <w:b w:val="0"/>
          <w:bCs w:val="0"/>
          <w:color w:val="auto"/>
          <w:kern w:val="0"/>
          <w:sz w:val="30"/>
          <w:szCs w:val="30"/>
          <w:highlight w:val="none"/>
        </w:rPr>
      </w:pPr>
      <w:r>
        <w:rPr>
          <w:rStyle w:val="33"/>
          <w:rFonts w:hint="eastAsia" w:ascii="宋体" w:hAnsi="宋体" w:eastAsia="宋体" w:cs="宋体"/>
          <w:color w:val="auto"/>
          <w:sz w:val="20"/>
          <w:szCs w:val="20"/>
          <w:highlight w:val="none"/>
          <w:u w:val="none"/>
        </w:rPr>
        <w:br w:type="page"/>
      </w:r>
      <w:bookmarkStart w:id="0" w:name="_Toc10923"/>
      <w:bookmarkStart w:id="1" w:name="_Toc15028"/>
      <w:bookmarkStart w:id="2" w:name="_Toc221374621"/>
      <w:bookmarkStart w:id="3" w:name="_Toc221423614"/>
      <w:bookmarkStart w:id="4" w:name="_Toc245191309"/>
      <w:bookmarkStart w:id="5" w:name="_Toc246261260"/>
      <w:bookmarkStart w:id="6" w:name="_Toc252194847"/>
      <w:bookmarkStart w:id="7" w:name="_Toc221356881"/>
      <w:bookmarkStart w:id="8" w:name="_Toc222114874"/>
      <w:bookmarkStart w:id="9" w:name="_Toc221356946"/>
      <w:bookmarkStart w:id="10" w:name="_Toc245722276"/>
      <w:bookmarkStart w:id="11" w:name="_Toc223715993"/>
      <w:bookmarkStart w:id="12" w:name="_Toc241404197"/>
      <w:bookmarkStart w:id="13" w:name="_Toc239145349"/>
      <w:bookmarkStart w:id="14" w:name="_Toc251592732"/>
      <w:bookmarkStart w:id="15" w:name="_Toc251325209"/>
      <w:r>
        <w:rPr>
          <w:rFonts w:hint="eastAsia" w:ascii="宋体" w:hAnsi="宋体" w:eastAsia="宋体" w:cs="宋体"/>
          <w:b/>
          <w:bCs/>
          <w:color w:val="auto"/>
          <w:sz w:val="36"/>
          <w:szCs w:val="36"/>
          <w:highlight w:val="none"/>
        </w:rPr>
        <w:t xml:space="preserve"> </w:t>
      </w:r>
      <w:bookmarkStart w:id="16" w:name="_Toc75948394"/>
      <w:bookmarkStart w:id="17" w:name="_Toc24159"/>
      <w:r>
        <w:rPr>
          <w:rFonts w:hint="eastAsia" w:ascii="宋体" w:hAnsi="宋体" w:eastAsia="宋体" w:cs="宋体"/>
          <w:b/>
          <w:bCs/>
          <w:color w:val="auto"/>
          <w:sz w:val="36"/>
          <w:szCs w:val="36"/>
          <w:highlight w:val="none"/>
        </w:rPr>
        <w:t>温州市铁路与轨道交通投资集团有限公司关于</w:t>
      </w:r>
      <w:r>
        <w:rPr>
          <w:rFonts w:hint="eastAsia" w:ascii="宋体" w:hAnsi="宋体" w:eastAsia="宋体" w:cs="宋体"/>
          <w:b/>
          <w:bCs/>
          <w:color w:val="auto"/>
          <w:sz w:val="36"/>
          <w:szCs w:val="36"/>
          <w:highlight w:val="none"/>
          <w:lang w:eastAsia="zh-CN"/>
        </w:rPr>
        <w:t>2023年超短期融资券承销服务项目</w:t>
      </w:r>
      <w:r>
        <w:rPr>
          <w:rFonts w:hint="eastAsia" w:ascii="宋体" w:hAnsi="宋体" w:eastAsia="宋体" w:cs="宋体"/>
          <w:b/>
          <w:bCs/>
          <w:color w:val="auto"/>
          <w:sz w:val="36"/>
          <w:szCs w:val="36"/>
          <w:highlight w:val="none"/>
        </w:rPr>
        <w:t>采购公告</w:t>
      </w:r>
      <w:bookmarkEnd w:id="0"/>
      <w:bookmarkEnd w:id="1"/>
      <w:bookmarkEnd w:id="16"/>
      <w:bookmarkEnd w:id="17"/>
    </w:p>
    <w:p>
      <w:pPr>
        <w:widowControl/>
        <w:spacing w:line="360" w:lineRule="auto"/>
        <w:ind w:left="61" w:leftChars="29" w:right="62"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根据《温州市市属国有企业采购管理办法（试行）》等有关规定，</w:t>
      </w:r>
      <w:r>
        <w:rPr>
          <w:rFonts w:hint="eastAsia" w:ascii="宋体" w:hAnsi="宋体" w:eastAsia="宋体" w:cs="宋体"/>
          <w:color w:val="auto"/>
          <w:sz w:val="22"/>
          <w:szCs w:val="22"/>
          <w:highlight w:val="none"/>
          <w:lang w:eastAsia="zh-CN"/>
        </w:rPr>
        <w:t>浙江省成套招标代理有限公司</w:t>
      </w:r>
      <w:r>
        <w:rPr>
          <w:rFonts w:hint="eastAsia" w:ascii="宋体" w:hAnsi="宋体" w:eastAsia="宋体" w:cs="宋体"/>
          <w:color w:val="auto"/>
          <w:sz w:val="22"/>
          <w:szCs w:val="22"/>
          <w:highlight w:val="none"/>
        </w:rPr>
        <w:t>受温州市铁路与轨道交通投资集团有限公司委托，就</w:t>
      </w:r>
      <w:r>
        <w:rPr>
          <w:rFonts w:hint="eastAsia" w:ascii="宋体" w:hAnsi="宋体" w:eastAsia="宋体" w:cs="宋体"/>
          <w:color w:val="auto"/>
          <w:sz w:val="22"/>
          <w:szCs w:val="22"/>
          <w:highlight w:val="none"/>
          <w:lang w:eastAsia="zh-CN"/>
        </w:rPr>
        <w:t>2023年超短期融资券承销服务项目</w:t>
      </w:r>
      <w:r>
        <w:rPr>
          <w:rFonts w:hint="eastAsia" w:ascii="宋体" w:hAnsi="宋体" w:eastAsia="宋体" w:cs="宋体"/>
          <w:color w:val="auto"/>
          <w:sz w:val="22"/>
          <w:szCs w:val="22"/>
          <w:highlight w:val="none"/>
        </w:rPr>
        <w:t>以公开招标方式进行国企采购，欢迎国内合格的投标供应商前来投标。</w:t>
      </w:r>
    </w:p>
    <w:p>
      <w:pPr>
        <w:widowControl/>
        <w:spacing w:line="360" w:lineRule="auto"/>
        <w:ind w:right="62" w:firstLine="200"/>
        <w:jc w:val="left"/>
        <w:rPr>
          <w:rFonts w:hint="eastAsia" w:ascii="宋体" w:hAnsi="宋体" w:eastAsia="宋体" w:cs="宋体"/>
          <w:bCs/>
          <w:color w:val="auto"/>
          <w:sz w:val="22"/>
          <w:szCs w:val="22"/>
          <w:highlight w:val="none"/>
          <w:u w:val="single"/>
        </w:rPr>
      </w:pPr>
      <w:r>
        <w:rPr>
          <w:rFonts w:hint="eastAsia" w:ascii="宋体" w:hAnsi="宋体" w:eastAsia="宋体" w:cs="宋体"/>
          <w:bCs/>
          <w:color w:val="auto"/>
          <w:sz w:val="22"/>
          <w:szCs w:val="22"/>
          <w:highlight w:val="none"/>
        </w:rPr>
        <w:t>一、</w:t>
      </w:r>
      <w:r>
        <w:rPr>
          <w:rFonts w:hint="eastAsia" w:ascii="宋体" w:hAnsi="宋体" w:eastAsia="宋体" w:cs="宋体"/>
          <w:bCs/>
          <w:color w:val="auto"/>
          <w:sz w:val="22"/>
          <w:szCs w:val="22"/>
          <w:highlight w:val="none"/>
          <w:lang w:val="en-US" w:eastAsia="zh-CN"/>
        </w:rPr>
        <w:t>项目编号</w:t>
      </w:r>
      <w:r>
        <w:rPr>
          <w:rFonts w:hint="eastAsia" w:ascii="宋体" w:hAnsi="宋体" w:eastAsia="宋体" w:cs="宋体"/>
          <w:bCs/>
          <w:color w:val="auto"/>
          <w:sz w:val="22"/>
          <w:szCs w:val="22"/>
          <w:highlight w:val="none"/>
        </w:rPr>
        <w:t>:</w:t>
      </w:r>
      <w:r>
        <w:rPr>
          <w:rFonts w:hint="eastAsia" w:ascii="宋体" w:hAnsi="宋体" w:eastAsia="宋体" w:cs="宋体"/>
          <w:bCs/>
          <w:color w:val="auto"/>
          <w:sz w:val="22"/>
          <w:szCs w:val="22"/>
          <w:highlight w:val="none"/>
          <w:lang w:eastAsia="zh-CN"/>
        </w:rPr>
        <w:t>WGSS-TTJT-X-2023003</w:t>
      </w:r>
      <w:r>
        <w:rPr>
          <w:rFonts w:hint="eastAsia" w:ascii="宋体" w:hAnsi="宋体" w:eastAsia="宋体" w:cs="宋体"/>
          <w:color w:val="auto"/>
          <w:highlight w:val="none"/>
        </w:rPr>
        <w:t xml:space="preserve"> </w:t>
      </w:r>
      <w:r>
        <w:rPr>
          <w:rFonts w:hint="eastAsia" w:ascii="宋体" w:hAnsi="宋体" w:eastAsia="宋体" w:cs="宋体"/>
          <w:color w:val="auto"/>
          <w:sz w:val="22"/>
          <w:szCs w:val="22"/>
          <w:highlight w:val="none"/>
          <w:lang w:val="en-US" w:eastAsia="zh-CN"/>
        </w:rPr>
        <w:t xml:space="preserve"> </w:t>
      </w:r>
    </w:p>
    <w:p>
      <w:pPr>
        <w:widowControl/>
        <w:spacing w:line="360" w:lineRule="auto"/>
        <w:ind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二、采购</w:t>
      </w:r>
      <w:r>
        <w:rPr>
          <w:rFonts w:hint="eastAsia" w:ascii="宋体" w:hAnsi="宋体" w:eastAsia="宋体" w:cs="宋体"/>
          <w:bCs/>
          <w:color w:val="auto"/>
          <w:sz w:val="22"/>
          <w:szCs w:val="22"/>
          <w:highlight w:val="none"/>
          <w:lang w:val="en-US" w:eastAsia="zh-CN"/>
        </w:rPr>
        <w:t>项目性质</w:t>
      </w:r>
      <w:r>
        <w:rPr>
          <w:rFonts w:hint="eastAsia" w:ascii="宋体" w:hAnsi="宋体" w:eastAsia="宋体" w:cs="宋体"/>
          <w:bCs/>
          <w:color w:val="auto"/>
          <w:sz w:val="22"/>
          <w:szCs w:val="22"/>
          <w:highlight w:val="none"/>
        </w:rPr>
        <w:t>：</w:t>
      </w:r>
      <w:r>
        <w:rPr>
          <w:rFonts w:hint="eastAsia" w:ascii="宋体" w:hAnsi="宋体" w:eastAsia="宋体" w:cs="宋体"/>
          <w:bCs/>
          <w:color w:val="auto"/>
          <w:sz w:val="22"/>
          <w:szCs w:val="22"/>
          <w:highlight w:val="none"/>
          <w:lang w:val="en-US" w:eastAsia="zh-CN"/>
        </w:rPr>
        <w:t>国企采购（非政府采购）</w:t>
      </w:r>
      <w:r>
        <w:rPr>
          <w:rFonts w:hint="eastAsia" w:ascii="宋体" w:hAnsi="宋体" w:eastAsia="宋体" w:cs="宋体"/>
          <w:color w:val="auto"/>
          <w:sz w:val="22"/>
          <w:szCs w:val="22"/>
          <w:highlight w:val="none"/>
        </w:rPr>
        <w:t>；</w:t>
      </w:r>
    </w:p>
    <w:p>
      <w:pPr>
        <w:widowControl/>
        <w:spacing w:line="360" w:lineRule="auto"/>
        <w:ind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三、</w:t>
      </w:r>
      <w:bookmarkStart w:id="18" w:name="_Hlk3463270"/>
      <w:r>
        <w:rPr>
          <w:rFonts w:hint="eastAsia" w:ascii="宋体" w:hAnsi="宋体" w:eastAsia="宋体" w:cs="宋体"/>
          <w:bCs/>
          <w:color w:val="auto"/>
          <w:sz w:val="22"/>
          <w:szCs w:val="22"/>
          <w:highlight w:val="none"/>
        </w:rPr>
        <w:t>采购项目概况</w:t>
      </w:r>
      <w:bookmarkEnd w:id="18"/>
      <w:r>
        <w:rPr>
          <w:rFonts w:hint="eastAsia" w:ascii="宋体" w:hAnsi="宋体" w:eastAsia="宋体" w:cs="宋体"/>
          <w:bCs/>
          <w:color w:val="auto"/>
          <w:sz w:val="22"/>
          <w:szCs w:val="22"/>
          <w:highlight w:val="none"/>
        </w:rPr>
        <w:t>（内容、用途、数量、简要技术要求等）：</w:t>
      </w:r>
    </w:p>
    <w:p>
      <w:pPr>
        <w:rPr>
          <w:rFonts w:hint="eastAsia" w:ascii="宋体" w:hAnsi="宋体" w:eastAsia="宋体" w:cs="宋体"/>
          <w:vanish/>
          <w:color w:val="auto"/>
          <w:sz w:val="22"/>
          <w:szCs w:val="22"/>
          <w:highlight w:val="none"/>
        </w:rPr>
      </w:pPr>
      <w:bookmarkStart w:id="19" w:name="B09_招标内容"/>
      <w:bookmarkEnd w:id="19"/>
    </w:p>
    <w:tbl>
      <w:tblPr>
        <w:tblStyle w:val="36"/>
        <w:tblpPr w:leftFromText="180" w:rightFromText="180" w:vertAnchor="text" w:horzAnchor="margin" w:tblpXSpec="center" w:tblpY="221"/>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408"/>
        <w:gridCol w:w="619"/>
        <w:gridCol w:w="673"/>
        <w:gridCol w:w="1205"/>
        <w:gridCol w:w="1495"/>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84"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序号</w:t>
            </w:r>
          </w:p>
        </w:tc>
        <w:tc>
          <w:tcPr>
            <w:tcW w:w="1408"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标项内容</w:t>
            </w:r>
          </w:p>
        </w:tc>
        <w:tc>
          <w:tcPr>
            <w:tcW w:w="619"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数量</w:t>
            </w:r>
          </w:p>
        </w:tc>
        <w:tc>
          <w:tcPr>
            <w:tcW w:w="673"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单位</w:t>
            </w:r>
          </w:p>
        </w:tc>
        <w:tc>
          <w:tcPr>
            <w:tcW w:w="1205"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预算金额（万元）</w:t>
            </w:r>
          </w:p>
        </w:tc>
        <w:tc>
          <w:tcPr>
            <w:tcW w:w="1495"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年</w:t>
            </w:r>
            <w:r>
              <w:rPr>
                <w:rFonts w:hint="eastAsia" w:ascii="宋体" w:hAnsi="宋体" w:eastAsia="宋体" w:cs="宋体"/>
                <w:bCs/>
                <w:color w:val="auto"/>
                <w:sz w:val="22"/>
                <w:szCs w:val="22"/>
                <w:highlight w:val="none"/>
              </w:rPr>
              <w:t>承销费率最高限价</w:t>
            </w:r>
          </w:p>
        </w:tc>
        <w:tc>
          <w:tcPr>
            <w:tcW w:w="3238"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9" w:hRule="atLeast"/>
        </w:trPr>
        <w:tc>
          <w:tcPr>
            <w:tcW w:w="684"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w:t>
            </w:r>
          </w:p>
        </w:tc>
        <w:tc>
          <w:tcPr>
            <w:tcW w:w="1408" w:type="dxa"/>
            <w:vAlign w:val="center"/>
          </w:tcPr>
          <w:p>
            <w:pPr>
              <w:widowControl/>
              <w:spacing w:line="360" w:lineRule="auto"/>
              <w:ind w:right="60"/>
              <w:jc w:val="center"/>
              <w:rPr>
                <w:rFonts w:hint="eastAsia" w:ascii="宋体" w:hAnsi="宋体" w:eastAsia="宋体" w:cs="宋体"/>
                <w:bCs/>
                <w:color w:val="auto"/>
                <w:sz w:val="22"/>
                <w:szCs w:val="22"/>
                <w:highlight w:val="none"/>
                <w:lang w:eastAsia="zh-CN"/>
              </w:rPr>
            </w:pPr>
            <w:r>
              <w:rPr>
                <w:rFonts w:hint="eastAsia" w:ascii="宋体" w:hAnsi="宋体" w:eastAsia="宋体" w:cs="宋体"/>
                <w:bCs/>
                <w:color w:val="auto"/>
                <w:sz w:val="22"/>
                <w:szCs w:val="22"/>
                <w:highlight w:val="none"/>
                <w:lang w:eastAsia="zh-CN"/>
              </w:rPr>
              <w:t>2023年超短期融资券承销服务项目</w:t>
            </w:r>
          </w:p>
        </w:tc>
        <w:tc>
          <w:tcPr>
            <w:tcW w:w="619"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w:t>
            </w:r>
          </w:p>
        </w:tc>
        <w:tc>
          <w:tcPr>
            <w:tcW w:w="673" w:type="dxa"/>
            <w:vAlign w:val="center"/>
          </w:tcPr>
          <w:p>
            <w:pPr>
              <w:widowControl/>
              <w:spacing w:line="360" w:lineRule="auto"/>
              <w:ind w:right="60"/>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项</w:t>
            </w:r>
          </w:p>
        </w:tc>
        <w:tc>
          <w:tcPr>
            <w:tcW w:w="1205" w:type="dxa"/>
            <w:vAlign w:val="center"/>
          </w:tcPr>
          <w:p>
            <w:pPr>
              <w:widowControl/>
              <w:spacing w:line="360" w:lineRule="auto"/>
              <w:ind w:right="60"/>
              <w:jc w:val="center"/>
              <w:rPr>
                <w:rFonts w:hint="eastAsia" w:ascii="宋体" w:hAnsi="宋体" w:eastAsia="宋体" w:cs="宋体"/>
                <w:bCs/>
                <w:color w:val="auto"/>
                <w:sz w:val="22"/>
                <w:szCs w:val="22"/>
                <w:highlight w:val="none"/>
                <w:lang w:eastAsia="zh-CN"/>
              </w:rPr>
            </w:pPr>
            <w:r>
              <w:rPr>
                <w:rFonts w:hint="eastAsia" w:ascii="宋体" w:hAnsi="宋体" w:eastAsia="宋体" w:cs="宋体"/>
                <w:bCs/>
                <w:color w:val="auto"/>
                <w:sz w:val="22"/>
                <w:szCs w:val="22"/>
                <w:highlight w:val="none"/>
                <w:lang w:eastAsia="zh-CN"/>
              </w:rPr>
              <w:t>140.25</w:t>
            </w:r>
          </w:p>
        </w:tc>
        <w:tc>
          <w:tcPr>
            <w:tcW w:w="1495" w:type="dxa"/>
            <w:vAlign w:val="center"/>
          </w:tcPr>
          <w:p>
            <w:pPr>
              <w:widowControl/>
              <w:spacing w:after="160" w:line="360" w:lineRule="auto"/>
              <w:ind w:right="60"/>
              <w:jc w:val="center"/>
              <w:rPr>
                <w:rFonts w:hint="eastAsia" w:ascii="宋体" w:hAnsi="宋体" w:eastAsia="宋体" w:cs="宋体"/>
                <w:bCs/>
                <w:color w:val="auto"/>
                <w:sz w:val="22"/>
                <w:szCs w:val="22"/>
                <w:highlight w:val="none"/>
                <w:lang w:eastAsia="zh-CN"/>
              </w:rPr>
            </w:pPr>
            <w:r>
              <w:rPr>
                <w:rFonts w:hint="eastAsia" w:ascii="宋体" w:hAnsi="宋体" w:eastAsia="宋体" w:cs="宋体"/>
                <w:color w:val="auto"/>
                <w:sz w:val="22"/>
                <w:szCs w:val="22"/>
                <w:highlight w:val="none"/>
                <w:lang w:val="en-US" w:eastAsia="zh-CN"/>
              </w:rPr>
              <w:t>0.068%</w:t>
            </w:r>
            <w:r>
              <w:rPr>
                <w:rFonts w:hint="eastAsia" w:ascii="宋体" w:hAnsi="宋体" w:eastAsia="宋体" w:cs="宋体"/>
                <w:color w:val="auto"/>
                <w:sz w:val="22"/>
                <w:szCs w:val="22"/>
                <w:highlight w:val="none"/>
              </w:rPr>
              <w:t>（即</w:t>
            </w:r>
            <w:r>
              <w:rPr>
                <w:rFonts w:hint="eastAsia" w:ascii="宋体" w:hAnsi="宋体" w:eastAsia="宋体" w:cs="宋体"/>
                <w:color w:val="auto"/>
                <w:sz w:val="22"/>
                <w:szCs w:val="22"/>
                <w:highlight w:val="none"/>
                <w:lang w:val="en-US" w:eastAsia="zh-CN"/>
              </w:rPr>
              <w:t>6.8BP</w:t>
            </w:r>
            <w:r>
              <w:rPr>
                <w:rFonts w:hint="eastAsia" w:ascii="宋体" w:hAnsi="宋体" w:eastAsia="宋体" w:cs="宋体"/>
                <w:color w:val="auto"/>
                <w:sz w:val="22"/>
                <w:szCs w:val="22"/>
                <w:highlight w:val="none"/>
              </w:rPr>
              <w:t>）</w:t>
            </w:r>
          </w:p>
        </w:tc>
        <w:tc>
          <w:tcPr>
            <w:tcW w:w="3238" w:type="dxa"/>
            <w:vAlign w:val="center"/>
          </w:tcPr>
          <w:p>
            <w:pPr>
              <w:widowControl/>
              <w:spacing w:line="360" w:lineRule="auto"/>
              <w:ind w:right="60"/>
              <w:jc w:val="left"/>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lang w:eastAsia="zh-CN"/>
              </w:rPr>
              <w:t>本次采购的温州市铁路与轨道交通投资集团有限公司超短期融资券承销服务机构，为本次债券提供承做、承销以及后续管理等所有服务</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发行规模</w:t>
            </w:r>
            <w:r>
              <w:rPr>
                <w:rFonts w:hint="eastAsia" w:ascii="宋体" w:hAnsi="宋体" w:eastAsia="宋体" w:cs="宋体"/>
                <w:color w:val="auto"/>
                <w:sz w:val="22"/>
                <w:szCs w:val="22"/>
                <w:highlight w:val="none"/>
                <w:lang w:val="en-US" w:eastAsia="zh-CN"/>
              </w:rPr>
              <w:t>不超过15亿元，</w:t>
            </w:r>
            <w:r>
              <w:rPr>
                <w:rFonts w:hint="eastAsia" w:ascii="宋体" w:hAnsi="宋体" w:eastAsia="宋体" w:cs="宋体"/>
                <w:color w:val="auto"/>
                <w:sz w:val="22"/>
                <w:szCs w:val="22"/>
                <w:highlight w:val="none"/>
              </w:rPr>
              <w:t>具体采购内容及技术要求详见采购文件第四部分。</w:t>
            </w:r>
          </w:p>
        </w:tc>
      </w:tr>
    </w:tbl>
    <w:p>
      <w:pPr>
        <w:widowControl/>
        <w:spacing w:line="360" w:lineRule="auto"/>
        <w:ind w:left="60" w:right="60" w:firstLine="200"/>
        <w:jc w:val="left"/>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四、投标供应商资格要求：</w:t>
      </w:r>
    </w:p>
    <w:p>
      <w:pPr>
        <w:widowControl/>
        <w:spacing w:line="360" w:lineRule="auto"/>
        <w:ind w:firstLine="440" w:firstLineChars="200"/>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1、基本要求：</w:t>
      </w:r>
      <w:r>
        <w:rPr>
          <w:rFonts w:hint="eastAsia" w:ascii="宋体" w:hAnsi="宋体" w:eastAsia="宋体" w:cs="宋体"/>
          <w:color w:val="auto"/>
          <w:kern w:val="2"/>
          <w:sz w:val="22"/>
          <w:szCs w:val="22"/>
          <w:highlight w:val="none"/>
          <w:lang w:val="en-US" w:eastAsia="zh-CN" w:bidi="ar-SA"/>
        </w:rPr>
        <w:t>符合《温州市市属国有企业采购管理办法（试行）》第十五条对供应商参加温州市国有企业采购活动应当具备的条件的要求：</w:t>
      </w:r>
    </w:p>
    <w:p>
      <w:pPr>
        <w:widowControl w:val="0"/>
        <w:spacing w:line="240" w:lineRule="auto"/>
        <w:ind w:firstLine="0" w:firstLineChars="0"/>
        <w:jc w:val="both"/>
        <w:rPr>
          <w:rFonts w:hint="eastAsia" w:ascii="宋体" w:hAnsi="宋体" w:eastAsia="宋体" w:cs="宋体"/>
          <w:color w:val="auto"/>
          <w:sz w:val="22"/>
          <w:szCs w:val="22"/>
          <w:highlight w:val="none"/>
        </w:rPr>
      </w:pPr>
      <w:r>
        <w:rPr>
          <w:rFonts w:hint="eastAsia" w:ascii="宋体" w:hAnsi="宋体" w:eastAsia="宋体" w:cs="宋体"/>
          <w:color w:val="auto"/>
          <w:kern w:val="2"/>
          <w:sz w:val="22"/>
          <w:szCs w:val="22"/>
          <w:highlight w:val="none"/>
          <w:lang w:val="en-US" w:eastAsia="zh-CN" w:bidi="ar-SA"/>
        </w:rPr>
        <w:t xml:space="preserve">    2、</w:t>
      </w:r>
      <w:bookmarkStart w:id="20" w:name="OLE_LINK49"/>
      <w:r>
        <w:rPr>
          <w:rFonts w:hint="eastAsia" w:ascii="宋体" w:hAnsi="宋体" w:eastAsia="宋体" w:cs="宋体"/>
          <w:color w:val="auto"/>
          <w:sz w:val="22"/>
          <w:szCs w:val="22"/>
          <w:highlight w:val="none"/>
        </w:rPr>
        <w:t>特</w:t>
      </w:r>
      <w:r>
        <w:rPr>
          <w:rFonts w:hint="eastAsia" w:ascii="宋体" w:hAnsi="宋体" w:eastAsia="宋体" w:cs="宋体"/>
          <w:color w:val="auto"/>
          <w:sz w:val="22"/>
          <w:szCs w:val="22"/>
          <w:highlight w:val="none"/>
          <w:lang w:val="en-US" w:eastAsia="zh-CN"/>
        </w:rPr>
        <w:t>定要求</w:t>
      </w:r>
      <w:r>
        <w:rPr>
          <w:rFonts w:hint="eastAsia" w:ascii="宋体" w:hAnsi="宋体" w:eastAsia="宋体" w:cs="宋体"/>
          <w:color w:val="auto"/>
          <w:sz w:val="22"/>
          <w:szCs w:val="22"/>
          <w:highlight w:val="none"/>
        </w:rPr>
        <w:t>：</w:t>
      </w:r>
    </w:p>
    <w:p>
      <w:pPr>
        <w:widowControl/>
        <w:wordWrap/>
        <w:snapToGrid/>
        <w:spacing w:line="420" w:lineRule="exact"/>
        <w:ind w:firstLine="440" w:firstLineChars="200"/>
        <w:jc w:val="left"/>
        <w:textAlignment w:val="auto"/>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2.1</w:t>
      </w:r>
      <w:r>
        <w:rPr>
          <w:rFonts w:hint="eastAsia" w:ascii="宋体" w:hAnsi="宋体" w:eastAsia="宋体" w:cs="宋体"/>
          <w:color w:val="auto"/>
          <w:kern w:val="0"/>
          <w:sz w:val="22"/>
          <w:szCs w:val="22"/>
          <w:highlight w:val="none"/>
        </w:rPr>
        <w:t>单位负责人为同一人或者存在直接控股、管理关系的不同供应商，不得参加同一合同项下的</w:t>
      </w:r>
      <w:r>
        <w:rPr>
          <w:rFonts w:hint="eastAsia" w:ascii="宋体" w:hAnsi="宋体" w:eastAsia="宋体" w:cs="宋体"/>
          <w:color w:val="auto"/>
          <w:kern w:val="0"/>
          <w:sz w:val="22"/>
          <w:szCs w:val="22"/>
          <w:highlight w:val="none"/>
          <w:lang w:eastAsia="zh-CN"/>
        </w:rPr>
        <w:t>国企采购</w:t>
      </w:r>
      <w:r>
        <w:rPr>
          <w:rFonts w:hint="eastAsia" w:ascii="宋体" w:hAnsi="宋体" w:eastAsia="宋体" w:cs="宋体"/>
          <w:color w:val="auto"/>
          <w:kern w:val="0"/>
          <w:sz w:val="22"/>
          <w:szCs w:val="22"/>
          <w:highlight w:val="none"/>
        </w:rPr>
        <w:t>活动</w:t>
      </w:r>
      <w:r>
        <w:rPr>
          <w:rFonts w:hint="eastAsia" w:ascii="宋体" w:hAnsi="宋体" w:eastAsia="宋体" w:cs="宋体"/>
          <w:color w:val="auto"/>
          <w:kern w:val="0"/>
          <w:sz w:val="22"/>
          <w:szCs w:val="22"/>
          <w:highlight w:val="none"/>
          <w:lang w:val="en-US" w:eastAsia="zh-CN"/>
        </w:rPr>
        <w:t>；</w:t>
      </w:r>
    </w:p>
    <w:p>
      <w:pPr>
        <w:widowControl/>
        <w:wordWrap/>
        <w:snapToGrid/>
        <w:spacing w:line="420" w:lineRule="exact"/>
        <w:ind w:firstLine="440" w:firstLineChars="200"/>
        <w:jc w:val="lef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2.2</w:t>
      </w:r>
      <w:r>
        <w:rPr>
          <w:rFonts w:hint="eastAsia" w:ascii="宋体" w:hAnsi="宋体" w:eastAsia="宋体" w:cs="宋体"/>
          <w:color w:val="auto"/>
          <w:kern w:val="0"/>
          <w:sz w:val="22"/>
          <w:szCs w:val="22"/>
          <w:highlight w:val="none"/>
        </w:rPr>
        <w:t>供应商未被“信用中国”（www.creditchina.gov.cn）、中国政府采购网（www.ccgp.gov.cn）列入失信被执行人、重大税收违法案件当事人名单、政府采购严重违法失信行为记录名单</w:t>
      </w:r>
      <w:r>
        <w:rPr>
          <w:rFonts w:hint="eastAsia" w:ascii="宋体" w:hAnsi="宋体" w:eastAsia="宋体" w:cs="宋体"/>
          <w:color w:val="auto"/>
          <w:kern w:val="0"/>
          <w:sz w:val="22"/>
          <w:szCs w:val="22"/>
          <w:highlight w:val="none"/>
          <w:lang w:val="en-US" w:eastAsia="zh-CN"/>
        </w:rPr>
        <w:t>；</w:t>
      </w:r>
    </w:p>
    <w:p>
      <w:pPr>
        <w:widowControl/>
        <w:wordWrap/>
        <w:snapToGrid/>
        <w:spacing w:line="420" w:lineRule="exact"/>
        <w:ind w:firstLine="440" w:firstLineChars="200"/>
        <w:jc w:val="lef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2.3</w:t>
      </w:r>
      <w:r>
        <w:rPr>
          <w:rFonts w:hint="eastAsia" w:ascii="宋体" w:hAnsi="宋体" w:eastAsia="宋体" w:cs="宋体"/>
          <w:color w:val="auto"/>
          <w:sz w:val="22"/>
          <w:szCs w:val="22"/>
          <w:highlight w:val="none"/>
        </w:rPr>
        <w:t>具备行业监管部门认定的从事超短期融资券主承销业务的</w:t>
      </w:r>
      <w:r>
        <w:rPr>
          <w:rFonts w:hint="eastAsia" w:ascii="宋体" w:hAnsi="宋体" w:eastAsia="宋体" w:cs="宋体"/>
          <w:color w:val="auto"/>
          <w:sz w:val="22"/>
          <w:szCs w:val="22"/>
          <w:highlight w:val="none"/>
          <w:lang w:val="en-US" w:eastAsia="zh-CN"/>
        </w:rPr>
        <w:t>A类主承销业务承销类会员资格（提供非金融企业债务融资工具承销机构名单）；如投标供应商为总公司（总机构）的或全国性企业所设立的区域性分支机构中的省级机构（一级机构），则仅需提交总公司（总机构）的A类主承销业务承销类会员资格证明；如投标供应商为全国性企业所设立的区域性分支机构中的市级机构（二级机构），则需提交总公司（总机构）的A类主承销业务承销类会员资格证明，同时提供总公司（总机构）授权文件或提供省级机构（一级机构）授权文件；</w:t>
      </w:r>
    </w:p>
    <w:bookmarkEnd w:id="20"/>
    <w:p>
      <w:pPr>
        <w:widowControl/>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2.4</w:t>
      </w:r>
      <w:r>
        <w:rPr>
          <w:rFonts w:hint="eastAsia" w:ascii="宋体" w:hAnsi="宋体" w:eastAsia="宋体" w:cs="宋体"/>
          <w:color w:val="auto"/>
          <w:sz w:val="22"/>
          <w:szCs w:val="22"/>
          <w:highlight w:val="none"/>
        </w:rPr>
        <w:t>本次采购</w:t>
      </w:r>
      <w:r>
        <w:rPr>
          <w:rFonts w:hint="eastAsia" w:ascii="宋体" w:hAnsi="宋体" w:eastAsia="宋体" w:cs="宋体"/>
          <w:color w:val="auto"/>
          <w:sz w:val="22"/>
          <w:szCs w:val="22"/>
          <w:highlight w:val="none"/>
          <w:u w:val="single"/>
        </w:rPr>
        <w:t>不接受</w:t>
      </w:r>
      <w:r>
        <w:rPr>
          <w:rFonts w:hint="eastAsia" w:ascii="宋体" w:hAnsi="宋体" w:eastAsia="宋体" w:cs="宋体"/>
          <w:color w:val="auto"/>
          <w:sz w:val="22"/>
          <w:szCs w:val="22"/>
          <w:highlight w:val="none"/>
        </w:rPr>
        <w:t>联合体投标</w:t>
      </w:r>
      <w:r>
        <w:rPr>
          <w:rFonts w:hint="eastAsia" w:ascii="宋体" w:hAnsi="宋体" w:eastAsia="宋体" w:cs="宋体"/>
          <w:color w:val="auto"/>
          <w:sz w:val="22"/>
          <w:szCs w:val="22"/>
          <w:highlight w:val="none"/>
          <w:lang w:eastAsia="zh-CN"/>
        </w:rPr>
        <w:t>。</w:t>
      </w:r>
    </w:p>
    <w:p>
      <w:pPr>
        <w:widowControl/>
        <w:spacing w:line="360" w:lineRule="auto"/>
        <w:ind w:left="60" w:right="60"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五、</w:t>
      </w:r>
      <w:r>
        <w:rPr>
          <w:rFonts w:hint="eastAsia" w:ascii="宋体" w:hAnsi="宋体" w:eastAsia="宋体" w:cs="宋体"/>
          <w:bCs/>
          <w:color w:val="auto"/>
          <w:sz w:val="22"/>
          <w:szCs w:val="22"/>
          <w:highlight w:val="none"/>
          <w:lang w:val="en-US" w:eastAsia="zh-CN"/>
        </w:rPr>
        <w:t>发售</w:t>
      </w:r>
      <w:r>
        <w:rPr>
          <w:rFonts w:hint="eastAsia" w:ascii="宋体" w:hAnsi="宋体" w:eastAsia="宋体" w:cs="宋体"/>
          <w:bCs/>
          <w:color w:val="auto"/>
          <w:sz w:val="22"/>
          <w:szCs w:val="22"/>
          <w:highlight w:val="none"/>
        </w:rPr>
        <w:t>采购文件时间及地点：</w:t>
      </w:r>
    </w:p>
    <w:p>
      <w:pPr>
        <w:widowControl/>
        <w:spacing w:line="360" w:lineRule="auto"/>
        <w:ind w:left="60" w:right="62" w:firstLine="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kern w:val="0"/>
          <w:sz w:val="22"/>
          <w:szCs w:val="22"/>
          <w:highlight w:val="none"/>
          <w:lang w:eastAsia="zh-CN"/>
        </w:rPr>
        <w:t>采购文件</w:t>
      </w:r>
      <w:r>
        <w:rPr>
          <w:rFonts w:hint="eastAsia" w:ascii="宋体" w:hAnsi="宋体" w:eastAsia="宋体" w:cs="宋体"/>
          <w:color w:val="auto"/>
          <w:kern w:val="0"/>
          <w:sz w:val="22"/>
          <w:szCs w:val="22"/>
          <w:highlight w:val="none"/>
        </w:rPr>
        <w:t>发售时间：</w:t>
      </w:r>
      <w:r>
        <w:rPr>
          <w:rFonts w:hint="eastAsia" w:ascii="宋体" w:hAnsi="宋体" w:eastAsia="宋体" w:cs="宋体"/>
          <w:color w:val="auto"/>
          <w:kern w:val="0"/>
          <w:sz w:val="22"/>
          <w:szCs w:val="22"/>
          <w:highlight w:val="none"/>
          <w:lang w:eastAsia="zh-CN"/>
        </w:rPr>
        <w:t>202</w:t>
      </w: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年</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月</w:t>
      </w:r>
      <w:r>
        <w:rPr>
          <w:rFonts w:hint="eastAsia" w:ascii="宋体" w:hAnsi="宋体" w:cs="宋体"/>
          <w:color w:val="auto"/>
          <w:kern w:val="0"/>
          <w:sz w:val="22"/>
          <w:szCs w:val="22"/>
          <w:highlight w:val="none"/>
          <w:lang w:val="en-US" w:eastAsia="zh-CN"/>
        </w:rPr>
        <w:t>17</w:t>
      </w:r>
      <w:r>
        <w:rPr>
          <w:rFonts w:hint="eastAsia" w:ascii="宋体" w:hAnsi="宋体" w:eastAsia="宋体" w:cs="宋体"/>
          <w:color w:val="auto"/>
          <w:kern w:val="0"/>
          <w:sz w:val="22"/>
          <w:szCs w:val="22"/>
          <w:highlight w:val="none"/>
        </w:rPr>
        <w:t>日起至202</w:t>
      </w: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年</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月</w:t>
      </w:r>
      <w:r>
        <w:rPr>
          <w:rFonts w:hint="eastAsia" w:ascii="宋体" w:hAnsi="宋体" w:cs="宋体"/>
          <w:color w:val="auto"/>
          <w:kern w:val="0"/>
          <w:sz w:val="22"/>
          <w:szCs w:val="22"/>
          <w:highlight w:val="none"/>
          <w:lang w:val="en-US" w:eastAsia="zh-CN"/>
        </w:rPr>
        <w:t>24</w:t>
      </w:r>
      <w:r>
        <w:rPr>
          <w:rFonts w:hint="eastAsia" w:ascii="宋体" w:hAnsi="宋体" w:eastAsia="宋体" w:cs="宋体"/>
          <w:color w:val="auto"/>
          <w:kern w:val="0"/>
          <w:sz w:val="22"/>
          <w:szCs w:val="22"/>
          <w:highlight w:val="none"/>
        </w:rPr>
        <w:t>日止；</w:t>
      </w:r>
      <w:r>
        <w:rPr>
          <w:rFonts w:hint="eastAsia" w:ascii="宋体" w:hAnsi="宋体" w:eastAsia="宋体" w:cs="宋体"/>
          <w:color w:val="auto"/>
          <w:sz w:val="22"/>
          <w:szCs w:val="22"/>
          <w:highlight w:val="none"/>
        </w:rPr>
        <w:t>本项目采购文件实行“政府采购云平台”在线获取，纸质版采购文件可前往采购代理机构领取。供应商获取采购文件前应先完成“政府采购云平台”的账号注册；</w:t>
      </w:r>
    </w:p>
    <w:p>
      <w:pPr>
        <w:widowControl/>
        <w:spacing w:line="360" w:lineRule="auto"/>
        <w:ind w:left="60" w:right="62" w:firstLine="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2、地点：</w:t>
      </w:r>
    </w:p>
    <w:p>
      <w:pPr>
        <w:widowControl/>
        <w:spacing w:line="360" w:lineRule="auto"/>
        <w:ind w:left="60" w:right="62" w:firstLine="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（1）政采云平台（http://zfcg.czt.zj.gov.cn）；</w:t>
      </w:r>
    </w:p>
    <w:p>
      <w:pPr>
        <w:widowControl/>
        <w:spacing w:line="360" w:lineRule="auto"/>
        <w:ind w:left="60" w:right="62" w:firstLine="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（2）供应商网上报名操作指南：“浙江政府采购网-办事指南-注册-供应商注册”（https://zfcg.czt.zj.gov.cn/zfjzcgbszn/2020-11-18/13865.html?_=2021-06-10%2022:15:23）。</w:t>
      </w:r>
    </w:p>
    <w:p>
      <w:pPr>
        <w:widowControl/>
        <w:spacing w:line="360" w:lineRule="auto"/>
        <w:ind w:left="60" w:right="62" w:firstLine="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方式：潜在供应商登陆政采云平台，在线申请获取采购文件（进入“项目采购”应用，在获取采购文件菜单中选择项目，申请获取采购文件，本项目采购文件售价:300元；仅需浏览采购文件的供应商可点击“游客，浏览采购文件”直接下载采购文件浏览）；</w:t>
      </w:r>
    </w:p>
    <w:p>
      <w:pPr>
        <w:widowControl/>
        <w:spacing w:line="360" w:lineRule="auto"/>
        <w:ind w:left="60" w:right="62" w:firstLine="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4、供应商获取采购文件时须提交的文件资料：无；</w:t>
      </w:r>
    </w:p>
    <w:p>
      <w:pPr>
        <w:widowControl/>
        <w:spacing w:line="360" w:lineRule="auto"/>
        <w:ind w:left="60" w:right="62" w:firstLine="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提示：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widowControl/>
        <w:spacing w:line="360" w:lineRule="auto"/>
        <w:ind w:left="60" w:right="62" w:firstLine="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注：请供应商按上述要求获取采购文件，如未在“政采云”系统内完成相关流程，引起的投标无效责任自负。</w:t>
      </w:r>
    </w:p>
    <w:p>
      <w:pPr>
        <w:widowControl/>
        <w:spacing w:line="360" w:lineRule="auto"/>
        <w:ind w:left="60"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六、</w:t>
      </w:r>
      <w:bookmarkStart w:id="21" w:name="_Hlk3379525"/>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递交截止时间</w:t>
      </w:r>
      <w:bookmarkEnd w:id="21"/>
      <w:r>
        <w:rPr>
          <w:rFonts w:hint="eastAsia" w:ascii="宋体" w:hAnsi="宋体" w:eastAsia="宋体" w:cs="宋体"/>
          <w:bCs/>
          <w:color w:val="auto"/>
          <w:sz w:val="22"/>
          <w:szCs w:val="22"/>
          <w:highlight w:val="none"/>
        </w:rPr>
        <w:t>：</w:t>
      </w:r>
      <w:bookmarkStart w:id="22" w:name="B23_谈判响应文件提交截止日期"/>
      <w:bookmarkEnd w:id="22"/>
      <w:bookmarkStart w:id="23" w:name="B24_谈判响应文件提交截止时间"/>
      <w:r>
        <w:rPr>
          <w:rFonts w:hint="eastAsia" w:ascii="宋体" w:hAnsi="宋体" w:eastAsia="宋体" w:cs="宋体"/>
          <w:b/>
          <w:color w:val="auto"/>
          <w:sz w:val="22"/>
          <w:szCs w:val="22"/>
          <w:highlight w:val="none"/>
          <w:u w:val="single"/>
          <w:lang w:eastAsia="zh-CN"/>
        </w:rPr>
        <w:t>2023年</w:t>
      </w:r>
      <w:r>
        <w:rPr>
          <w:rFonts w:hint="eastAsia" w:ascii="宋体" w:hAnsi="宋体" w:cs="宋体"/>
          <w:b/>
          <w:color w:val="auto"/>
          <w:sz w:val="22"/>
          <w:szCs w:val="22"/>
          <w:highlight w:val="none"/>
          <w:u w:val="single"/>
          <w:lang w:val="en-US" w:eastAsia="zh-CN"/>
        </w:rPr>
        <w:t>4</w:t>
      </w:r>
      <w:r>
        <w:rPr>
          <w:rFonts w:hint="eastAsia" w:ascii="宋体" w:hAnsi="宋体" w:eastAsia="宋体" w:cs="宋体"/>
          <w:b/>
          <w:color w:val="auto"/>
          <w:sz w:val="22"/>
          <w:szCs w:val="22"/>
          <w:highlight w:val="none"/>
          <w:u w:val="single"/>
          <w:lang w:eastAsia="zh-CN"/>
        </w:rPr>
        <w:t>月</w:t>
      </w:r>
      <w:r>
        <w:rPr>
          <w:rFonts w:hint="eastAsia" w:ascii="宋体" w:hAnsi="宋体" w:cs="宋体"/>
          <w:b/>
          <w:color w:val="auto"/>
          <w:sz w:val="22"/>
          <w:szCs w:val="22"/>
          <w:highlight w:val="none"/>
          <w:u w:val="single"/>
          <w:lang w:val="en-US" w:eastAsia="zh-CN"/>
        </w:rPr>
        <w:t>7</w:t>
      </w:r>
      <w:r>
        <w:rPr>
          <w:rFonts w:hint="eastAsia" w:ascii="宋体" w:hAnsi="宋体" w:eastAsia="宋体" w:cs="宋体"/>
          <w:b/>
          <w:color w:val="auto"/>
          <w:sz w:val="22"/>
          <w:szCs w:val="22"/>
          <w:highlight w:val="none"/>
          <w:u w:val="single"/>
          <w:lang w:eastAsia="zh-CN"/>
        </w:rPr>
        <w:t>日</w:t>
      </w:r>
      <w:r>
        <w:rPr>
          <w:rFonts w:hint="eastAsia" w:ascii="宋体" w:hAnsi="宋体" w:eastAsia="宋体" w:cs="宋体"/>
          <w:b/>
          <w:color w:val="auto"/>
          <w:sz w:val="22"/>
          <w:szCs w:val="22"/>
          <w:highlight w:val="none"/>
        </w:rPr>
        <w:t>上午09:30</w:t>
      </w:r>
      <w:bookmarkEnd w:id="23"/>
      <w:r>
        <w:rPr>
          <w:rFonts w:hint="eastAsia" w:ascii="宋体" w:hAnsi="宋体" w:eastAsia="宋体" w:cs="宋体"/>
          <w:b/>
          <w:color w:val="auto"/>
          <w:sz w:val="22"/>
          <w:szCs w:val="22"/>
          <w:highlight w:val="none"/>
        </w:rPr>
        <w:t>(北京时间)</w:t>
      </w:r>
    </w:p>
    <w:p>
      <w:pPr>
        <w:widowControl/>
        <w:spacing w:line="360" w:lineRule="auto"/>
        <w:ind w:left="60" w:right="60"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七、</w:t>
      </w: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提交地点：</w:t>
      </w:r>
      <w:r>
        <w:rPr>
          <w:rFonts w:hint="eastAsia" w:ascii="宋体" w:hAnsi="宋体" w:eastAsia="宋体" w:cs="宋体"/>
          <w:bCs/>
          <w:color w:val="auto"/>
          <w:sz w:val="22"/>
          <w:szCs w:val="22"/>
          <w:highlight w:val="none"/>
          <w:u w:val="single"/>
        </w:rPr>
        <w:t>通过“政府采购云平台（www.zcygov.cn）”实行在线投标响应。</w:t>
      </w:r>
    </w:p>
    <w:p>
      <w:pPr>
        <w:widowControl/>
        <w:spacing w:line="360" w:lineRule="auto"/>
        <w:ind w:left="60" w:right="62" w:firstLine="200"/>
        <w:jc w:val="left"/>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八、开标时间：</w:t>
      </w:r>
      <w:bookmarkStart w:id="24" w:name="B26_谈判时间日期"/>
      <w:bookmarkEnd w:id="24"/>
      <w:r>
        <w:rPr>
          <w:rFonts w:hint="eastAsia" w:ascii="宋体" w:hAnsi="宋体" w:eastAsia="宋体" w:cs="宋体"/>
          <w:b/>
          <w:color w:val="auto"/>
          <w:sz w:val="22"/>
          <w:szCs w:val="22"/>
          <w:highlight w:val="none"/>
          <w:u w:val="single"/>
        </w:rPr>
        <w:t>同</w:t>
      </w:r>
      <w:r>
        <w:rPr>
          <w:rFonts w:hint="eastAsia" w:ascii="宋体" w:hAnsi="宋体" w:eastAsia="宋体" w:cs="宋体"/>
          <w:b/>
          <w:color w:val="auto"/>
          <w:sz w:val="22"/>
          <w:szCs w:val="22"/>
          <w:highlight w:val="none"/>
          <w:u w:val="single"/>
          <w:lang w:eastAsia="zh-CN"/>
        </w:rPr>
        <w:t>投标文件</w:t>
      </w:r>
      <w:r>
        <w:rPr>
          <w:rFonts w:hint="eastAsia" w:ascii="宋体" w:hAnsi="宋体" w:eastAsia="宋体" w:cs="宋体"/>
          <w:b/>
          <w:color w:val="auto"/>
          <w:sz w:val="22"/>
          <w:szCs w:val="22"/>
          <w:highlight w:val="none"/>
          <w:u w:val="single"/>
        </w:rPr>
        <w:t>递交截止时间。</w:t>
      </w:r>
    </w:p>
    <w:p>
      <w:pPr>
        <w:widowControl/>
        <w:spacing w:line="360" w:lineRule="auto"/>
        <w:ind w:left="60" w:right="60" w:firstLine="200"/>
        <w:jc w:val="left"/>
        <w:rPr>
          <w:rFonts w:hint="eastAsia" w:ascii="宋体" w:hAnsi="宋体" w:eastAsia="宋体" w:cs="宋体"/>
          <w:bCs/>
          <w:color w:val="auto"/>
          <w:sz w:val="22"/>
          <w:szCs w:val="22"/>
          <w:highlight w:val="none"/>
          <w:u w:val="single"/>
        </w:rPr>
      </w:pPr>
      <w:r>
        <w:rPr>
          <w:rFonts w:hint="eastAsia" w:ascii="宋体" w:hAnsi="宋体" w:eastAsia="宋体" w:cs="宋体"/>
          <w:bCs/>
          <w:color w:val="auto"/>
          <w:sz w:val="22"/>
          <w:szCs w:val="22"/>
          <w:highlight w:val="none"/>
        </w:rPr>
        <w:t>九、开标地点：</w:t>
      </w:r>
      <w:r>
        <w:rPr>
          <w:rFonts w:hint="eastAsia" w:ascii="宋体" w:hAnsi="宋体" w:eastAsia="宋体" w:cs="宋体"/>
          <w:color w:val="auto"/>
          <w:sz w:val="22"/>
          <w:szCs w:val="22"/>
          <w:highlight w:val="none"/>
        </w:rPr>
        <w:t>在</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政府采购云平台（https://www.zcygov.cn）</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上开启投标文件</w:t>
      </w:r>
      <w:r>
        <w:rPr>
          <w:rFonts w:hint="eastAsia" w:ascii="宋体" w:hAnsi="宋体" w:eastAsia="宋体" w:cs="宋体"/>
          <w:color w:val="auto"/>
          <w:sz w:val="22"/>
          <w:szCs w:val="22"/>
          <w:highlight w:val="none"/>
          <w:lang w:eastAsia="zh-CN"/>
        </w:rPr>
        <w:t>。</w:t>
      </w:r>
    </w:p>
    <w:p>
      <w:pPr>
        <w:widowControl/>
        <w:spacing w:line="360" w:lineRule="auto"/>
        <w:ind w:left="60"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十、</w:t>
      </w:r>
      <w:r>
        <w:rPr>
          <w:rFonts w:hint="eastAsia" w:ascii="宋体" w:hAnsi="宋体" w:eastAsia="宋体" w:cs="宋体"/>
          <w:b/>
          <w:bCs w:val="0"/>
          <w:color w:val="auto"/>
          <w:sz w:val="22"/>
          <w:szCs w:val="22"/>
          <w:highlight w:val="none"/>
        </w:rPr>
        <w:t>投标保证金及交付方式：</w:t>
      </w:r>
      <w:r>
        <w:rPr>
          <w:rFonts w:hint="eastAsia" w:ascii="宋体" w:hAnsi="宋体" w:eastAsia="宋体" w:cs="宋体"/>
          <w:b/>
          <w:bCs w:val="0"/>
          <w:color w:val="auto"/>
          <w:sz w:val="22"/>
          <w:szCs w:val="22"/>
          <w:highlight w:val="none"/>
          <w:lang w:val="en-US" w:eastAsia="zh-CN"/>
        </w:rPr>
        <w:t>本项目不要求提供。</w:t>
      </w:r>
    </w:p>
    <w:p>
      <w:pPr>
        <w:widowControl/>
        <w:spacing w:line="360" w:lineRule="auto"/>
        <w:ind w:left="60" w:right="62" w:firstLine="200"/>
        <w:jc w:val="left"/>
        <w:rPr>
          <w:rFonts w:hint="eastAsia" w:ascii="宋体" w:hAnsi="宋体" w:eastAsia="宋体" w:cs="宋体"/>
          <w:bCs/>
          <w:color w:val="auto"/>
          <w:sz w:val="22"/>
          <w:szCs w:val="22"/>
          <w:highlight w:val="none"/>
        </w:rPr>
      </w:pPr>
      <w:bookmarkStart w:id="25" w:name="B29_谈判保证金"/>
      <w:bookmarkEnd w:id="25"/>
      <w:r>
        <w:rPr>
          <w:rFonts w:hint="eastAsia" w:ascii="宋体" w:hAnsi="宋体" w:eastAsia="宋体" w:cs="宋体"/>
          <w:bCs/>
          <w:color w:val="auto"/>
          <w:sz w:val="22"/>
          <w:szCs w:val="22"/>
          <w:highlight w:val="none"/>
        </w:rPr>
        <w:t>十一、在线投标响应（电子投标）说明</w:t>
      </w:r>
    </w:p>
    <w:p>
      <w:pPr>
        <w:widowControl/>
        <w:spacing w:line="360" w:lineRule="auto"/>
        <w:ind w:left="60"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widowControl/>
        <w:spacing w:line="360" w:lineRule="auto"/>
        <w:ind w:left="60"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政采云电子交易客户端”请自行前往“浙江政府采购网-下载专区-电子交易客户端”进行下载；电子投标具体操作流程详见《供应商项目采购-电子招投标操作指南》,下载途径详询400-881-7190；通过“政府采购云平台”参与在线投标时如遇平台技术问题详询400-881-7190。</w:t>
      </w:r>
    </w:p>
    <w:p>
      <w:pPr>
        <w:widowControl/>
        <w:spacing w:line="360" w:lineRule="auto"/>
        <w:ind w:left="60"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2、为确保网上操作合法、有效和安全，投标供应商应当在投标截止时间前完成在“政府采购云平台”的身份认证，确保在电子投标过程中能够对相关数据电文进行加密和</w:t>
      </w:r>
      <w:r>
        <w:rPr>
          <w:rFonts w:hint="eastAsia" w:ascii="宋体" w:hAnsi="宋体" w:eastAsia="宋体" w:cs="宋体"/>
          <w:bCs/>
          <w:color w:val="auto"/>
          <w:sz w:val="22"/>
          <w:szCs w:val="22"/>
          <w:highlight w:val="none"/>
          <w:lang w:val="en-US" w:eastAsia="zh-CN"/>
        </w:rPr>
        <w:t>可以</w:t>
      </w:r>
      <w:r>
        <w:rPr>
          <w:rFonts w:hint="eastAsia" w:ascii="宋体" w:hAnsi="宋体" w:eastAsia="宋体" w:cs="宋体"/>
          <w:bCs/>
          <w:color w:val="auto"/>
          <w:sz w:val="22"/>
          <w:szCs w:val="22"/>
          <w:highlight w:val="none"/>
        </w:rPr>
        <w:t>使用电子签章。使用“政采云电子交易客户端”需要提前申领CA数字证书，申领流程请自行前往“浙江政府采购网-下载专区-电子交易客户端-CA驱动和申领流程”进行查阅；</w:t>
      </w:r>
    </w:p>
    <w:p>
      <w:pPr>
        <w:widowControl/>
        <w:spacing w:line="360" w:lineRule="auto"/>
        <w:ind w:left="60"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3、投标供应商应当在投标截止时间前，将生成的“电子加密投标文件”上传递交至“政府采购云平台”。投标截止时间以后上传递交的投标文件将被“政府采购云平台”拒收。</w:t>
      </w:r>
    </w:p>
    <w:p>
      <w:pPr>
        <w:widowControl/>
        <w:spacing w:line="360" w:lineRule="auto"/>
        <w:ind w:left="60"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4、投标供应商在“政府采购云平台”完成“电子加密投标文件”的上传递交后，还可以（</w:t>
      </w:r>
      <w:r>
        <w:rPr>
          <w:rFonts w:hint="eastAsia" w:ascii="宋体" w:hAnsi="宋体" w:eastAsia="宋体" w:cs="宋体"/>
          <w:bCs/>
          <w:color w:val="auto"/>
          <w:sz w:val="22"/>
          <w:szCs w:val="22"/>
          <w:highlight w:val="none"/>
          <w:lang w:val="en-US" w:eastAsia="zh-CN"/>
        </w:rPr>
        <w:t>顺丰或</w:t>
      </w:r>
      <w:r>
        <w:rPr>
          <w:rFonts w:hint="eastAsia" w:ascii="宋体" w:hAnsi="宋体" w:eastAsia="宋体" w:cs="宋体"/>
          <w:bCs/>
          <w:color w:val="auto"/>
          <w:sz w:val="22"/>
          <w:szCs w:val="22"/>
          <w:highlight w:val="none"/>
        </w:rPr>
        <w:t>EMS邮寄形式）在投标截止时间前递交以介质（U盘）存储的数据电文形式的“备份投标文件”，“备份投标文件”应当密封包装并在包装上标注投标项目名称、投标单位名称并加盖公章。</w:t>
      </w:r>
    </w:p>
    <w:p>
      <w:pPr>
        <w:widowControl/>
        <w:spacing w:line="360" w:lineRule="auto"/>
        <w:ind w:left="60"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pacing w:line="360" w:lineRule="auto"/>
        <w:ind w:left="60" w:right="62"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十二、其他事项：</w:t>
      </w:r>
    </w:p>
    <w:p>
      <w:pPr>
        <w:widowControl/>
        <w:spacing w:before="60" w:after="60" w:line="400" w:lineRule="exact"/>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1、采购公告期限：5个工作日，从公告在浙江政府采购网上发布的次日起算。</w:t>
      </w:r>
    </w:p>
    <w:p>
      <w:pPr>
        <w:widowControl/>
        <w:spacing w:before="60" w:after="60" w:line="400" w:lineRule="exact"/>
        <w:ind w:left="62" w:right="62" w:firstLine="440" w:firstLineChars="200"/>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2</w:t>
      </w:r>
      <w:r>
        <w:rPr>
          <w:rFonts w:hint="eastAsia" w:ascii="宋体" w:hAnsi="宋体" w:eastAsia="宋体" w:cs="宋体"/>
          <w:b/>
          <w:color w:val="auto"/>
          <w:kern w:val="0"/>
          <w:sz w:val="22"/>
          <w:szCs w:val="22"/>
          <w:highlight w:val="none"/>
        </w:rPr>
        <w:t>、</w:t>
      </w:r>
      <w:r>
        <w:rPr>
          <w:rFonts w:hint="eastAsia" w:ascii="宋体" w:hAnsi="宋体" w:eastAsia="宋体" w:cs="宋体"/>
          <w:b/>
          <w:color w:val="auto"/>
          <w:kern w:val="0"/>
          <w:sz w:val="22"/>
          <w:szCs w:val="22"/>
          <w:highlight w:val="none"/>
          <w:u w:val="single"/>
        </w:rPr>
        <w:t>投标供应商认为采购文件使自己的权益受到损害的，可以自收到采购文件之日（发售截止日之后收到采购文件的，以发售截止日为准）或者采购公告期限届满之日起7个工作日内，以书面形式向采购人和采购代理机构提出质疑。</w:t>
      </w:r>
      <w:bookmarkStart w:id="26" w:name="_Hlk3452824"/>
      <w:r>
        <w:rPr>
          <w:rFonts w:hint="eastAsia" w:ascii="宋体" w:hAnsi="宋体" w:eastAsia="宋体" w:cs="宋体"/>
          <w:b/>
          <w:color w:val="auto"/>
          <w:kern w:val="0"/>
          <w:sz w:val="22"/>
          <w:szCs w:val="22"/>
          <w:highlight w:val="none"/>
          <w:u w:val="single"/>
        </w:rPr>
        <w:t>质疑供应商对采购人、采购代理机构的答复不满意或者采购人、采购代理机构未在规定的时间内作出答复的，可以在答复期满后十五个工作日内向采购监督管理部门投诉。</w:t>
      </w:r>
    </w:p>
    <w:bookmarkEnd w:id="26"/>
    <w:p>
      <w:pPr>
        <w:widowControl/>
        <w:spacing w:line="360" w:lineRule="auto"/>
        <w:ind w:left="62" w:right="62" w:firstLine="440" w:firstLineChars="200"/>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3、采购文件发售截止时间之后潜在投标供应商仍然可以购买采购文件，但该投标供应商如对采购文件有疑问应按采购文件规定的询疑截止时间前提出，逾期提出的，采购组织机构可以不予受理、答复。</w:t>
      </w:r>
    </w:p>
    <w:p>
      <w:pPr>
        <w:widowControl/>
        <w:spacing w:line="360" w:lineRule="auto"/>
        <w:ind w:left="62" w:right="62" w:firstLine="440" w:firstLineChars="200"/>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4、书面质疑受理地点：</w:t>
      </w:r>
      <w:r>
        <w:rPr>
          <w:rFonts w:hint="eastAsia" w:ascii="宋体" w:hAnsi="宋体" w:eastAsia="宋体" w:cs="宋体"/>
          <w:bCs/>
          <w:color w:val="auto"/>
          <w:kern w:val="0"/>
          <w:sz w:val="22"/>
          <w:szCs w:val="22"/>
          <w:highlight w:val="none"/>
          <w:u w:val="single"/>
          <w:lang w:eastAsia="zh-CN"/>
        </w:rPr>
        <w:t>温州市温州大道展宏大厦2栋702室</w:t>
      </w:r>
      <w:r>
        <w:rPr>
          <w:rFonts w:hint="eastAsia" w:ascii="宋体" w:hAnsi="宋体" w:eastAsia="宋体" w:cs="宋体"/>
          <w:bCs/>
          <w:color w:val="auto"/>
          <w:kern w:val="0"/>
          <w:sz w:val="22"/>
          <w:szCs w:val="22"/>
          <w:highlight w:val="none"/>
        </w:rPr>
        <w:t>，联系人：</w:t>
      </w:r>
      <w:r>
        <w:rPr>
          <w:rFonts w:hint="eastAsia" w:ascii="宋体" w:hAnsi="宋体" w:eastAsia="宋体" w:cs="宋体"/>
          <w:bCs/>
          <w:color w:val="auto"/>
          <w:kern w:val="0"/>
          <w:sz w:val="22"/>
          <w:szCs w:val="22"/>
          <w:highlight w:val="none"/>
          <w:u w:val="single"/>
          <w:lang w:eastAsia="zh-CN"/>
        </w:rPr>
        <w:t>肖慧</w:t>
      </w:r>
      <w:r>
        <w:rPr>
          <w:rFonts w:hint="eastAsia" w:ascii="宋体" w:hAnsi="宋体" w:eastAsia="宋体" w:cs="宋体"/>
          <w:bCs/>
          <w:color w:val="auto"/>
          <w:kern w:val="0"/>
          <w:sz w:val="22"/>
          <w:szCs w:val="22"/>
          <w:highlight w:val="none"/>
        </w:rPr>
        <w:t>，联系电话：</w:t>
      </w:r>
      <w:r>
        <w:rPr>
          <w:rFonts w:hint="eastAsia" w:ascii="宋体" w:hAnsi="宋体" w:eastAsia="宋体" w:cs="宋体"/>
          <w:bCs/>
          <w:color w:val="auto"/>
          <w:kern w:val="0"/>
          <w:sz w:val="22"/>
          <w:szCs w:val="22"/>
          <w:highlight w:val="none"/>
          <w:u w:val="single"/>
          <w:lang w:eastAsia="zh-CN"/>
        </w:rPr>
        <w:t>13606874516</w:t>
      </w:r>
      <w:r>
        <w:rPr>
          <w:rFonts w:hint="eastAsia" w:ascii="宋体" w:hAnsi="宋体" w:eastAsia="宋体" w:cs="宋体"/>
          <w:bCs/>
          <w:color w:val="auto"/>
          <w:kern w:val="0"/>
          <w:sz w:val="22"/>
          <w:szCs w:val="22"/>
          <w:highlight w:val="none"/>
        </w:rPr>
        <w:t>。</w:t>
      </w:r>
    </w:p>
    <w:p>
      <w:pPr>
        <w:pStyle w:val="8"/>
        <w:ind w:firstLine="220"/>
        <w:rPr>
          <w:rFonts w:hint="eastAsia" w:ascii="宋体" w:hAnsi="宋体" w:eastAsia="宋体" w:cs="宋体"/>
          <w:color w:val="auto"/>
          <w:highlight w:val="none"/>
        </w:rPr>
      </w:pPr>
      <w:r>
        <w:rPr>
          <w:rFonts w:hint="eastAsia" w:ascii="宋体" w:hAnsi="宋体" w:eastAsia="宋体" w:cs="宋体"/>
          <w:bCs/>
          <w:color w:val="auto"/>
          <w:kern w:val="0"/>
          <w:sz w:val="22"/>
          <w:szCs w:val="22"/>
          <w:highlight w:val="none"/>
        </w:rPr>
        <w:t xml:space="preserve"> </w:t>
      </w:r>
      <w:r>
        <w:rPr>
          <w:rFonts w:hint="eastAsia" w:ascii="宋体" w:hAnsi="宋体" w:eastAsia="宋体" w:cs="宋体"/>
          <w:b/>
          <w:color w:val="auto"/>
          <w:kern w:val="0"/>
          <w:sz w:val="22"/>
          <w:szCs w:val="22"/>
          <w:highlight w:val="none"/>
        </w:rPr>
        <w:t xml:space="preserve">  </w:t>
      </w:r>
      <w:r>
        <w:rPr>
          <w:rFonts w:hint="eastAsia" w:ascii="宋体" w:hAnsi="宋体" w:eastAsia="宋体" w:cs="宋体"/>
          <w:b/>
          <w:color w:val="auto"/>
          <w:kern w:val="0"/>
          <w:sz w:val="22"/>
          <w:szCs w:val="22"/>
          <w:highlight w:val="none"/>
          <w:u w:val="single"/>
        </w:rPr>
        <w:t>5、温州市铁路与轨道交通投资集团有限公司负责对投标供应商反映的企业本部及所属企业在采购活动中出现的违法违规问题进行答疑回复。投标供应商认为答疑回复处理结果不合法的，可以采购人或代理机构为对象依法向人民法院提起诉讼。</w:t>
      </w:r>
    </w:p>
    <w:p>
      <w:pPr>
        <w:widowControl/>
        <w:spacing w:line="360" w:lineRule="auto"/>
        <w:ind w:left="60" w:right="60" w:firstLine="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十二、联系方式</w:t>
      </w:r>
    </w:p>
    <w:p>
      <w:pPr>
        <w:widowControl/>
        <w:spacing w:line="360" w:lineRule="auto"/>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1、采购人名称：温州市铁路与轨道交通投资集团有限公司</w:t>
      </w:r>
    </w:p>
    <w:p>
      <w:pPr>
        <w:widowControl/>
        <w:spacing w:line="360" w:lineRule="auto"/>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地 址：温州市温州大道2305号轨道交通控制中心</w:t>
      </w:r>
    </w:p>
    <w:p>
      <w:pPr>
        <w:widowControl/>
        <w:spacing w:line="360" w:lineRule="auto"/>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联系人： </w:t>
      </w:r>
      <w:r>
        <w:rPr>
          <w:rFonts w:hint="eastAsia" w:ascii="宋体" w:hAnsi="宋体" w:eastAsia="宋体" w:cs="宋体"/>
          <w:bCs/>
          <w:color w:val="auto"/>
          <w:sz w:val="22"/>
          <w:szCs w:val="22"/>
          <w:highlight w:val="none"/>
          <w:lang w:eastAsia="zh-CN"/>
        </w:rPr>
        <w:t>干工</w:t>
      </w:r>
    </w:p>
    <w:p>
      <w:pPr>
        <w:widowControl/>
        <w:spacing w:line="360" w:lineRule="auto"/>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联系电话：</w:t>
      </w:r>
      <w:r>
        <w:rPr>
          <w:rFonts w:hint="eastAsia" w:ascii="宋体" w:hAnsi="宋体" w:eastAsia="宋体" w:cs="宋体"/>
          <w:bCs/>
          <w:color w:val="auto"/>
          <w:sz w:val="22"/>
          <w:szCs w:val="22"/>
          <w:highlight w:val="none"/>
          <w:lang w:eastAsia="zh-CN"/>
        </w:rPr>
        <w:t>0577-89727598</w:t>
      </w:r>
    </w:p>
    <w:p>
      <w:pPr>
        <w:widowControl/>
        <w:spacing w:line="360" w:lineRule="auto"/>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2、招标代理机构名称：</w:t>
      </w:r>
      <w:r>
        <w:rPr>
          <w:rFonts w:hint="eastAsia" w:ascii="宋体" w:hAnsi="宋体" w:eastAsia="宋体" w:cs="宋体"/>
          <w:bCs/>
          <w:color w:val="auto"/>
          <w:sz w:val="22"/>
          <w:szCs w:val="22"/>
          <w:highlight w:val="none"/>
          <w:lang w:eastAsia="zh-CN"/>
        </w:rPr>
        <w:t>浙江省成套招标代理有限公司</w:t>
      </w:r>
    </w:p>
    <w:p>
      <w:pPr>
        <w:widowControl/>
        <w:spacing w:line="360" w:lineRule="auto"/>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地 址：</w:t>
      </w:r>
      <w:r>
        <w:rPr>
          <w:rFonts w:hint="eastAsia" w:ascii="宋体" w:hAnsi="宋体" w:eastAsia="宋体" w:cs="宋体"/>
          <w:bCs/>
          <w:color w:val="auto"/>
          <w:sz w:val="22"/>
          <w:szCs w:val="22"/>
          <w:highlight w:val="none"/>
          <w:lang w:eastAsia="zh-CN"/>
        </w:rPr>
        <w:t>温州市温州大道展宏大厦2栋702室</w:t>
      </w:r>
    </w:p>
    <w:p>
      <w:pPr>
        <w:widowControl/>
        <w:spacing w:line="360" w:lineRule="auto"/>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联系人：</w:t>
      </w:r>
      <w:r>
        <w:rPr>
          <w:rFonts w:hint="eastAsia" w:ascii="宋体" w:hAnsi="宋体" w:eastAsia="宋体" w:cs="宋体"/>
          <w:bCs/>
          <w:color w:val="auto"/>
          <w:sz w:val="22"/>
          <w:szCs w:val="22"/>
          <w:highlight w:val="none"/>
          <w:lang w:eastAsia="zh-CN"/>
        </w:rPr>
        <w:t>邵海勇</w:t>
      </w:r>
    </w:p>
    <w:p>
      <w:pPr>
        <w:widowControl/>
        <w:spacing w:line="360" w:lineRule="auto"/>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电话：</w:t>
      </w:r>
      <w:r>
        <w:rPr>
          <w:rFonts w:hint="eastAsia" w:ascii="宋体" w:hAnsi="宋体" w:eastAsia="宋体" w:cs="宋体"/>
          <w:bCs/>
          <w:color w:val="auto"/>
          <w:sz w:val="22"/>
          <w:szCs w:val="22"/>
          <w:highlight w:val="none"/>
          <w:lang w:eastAsia="zh-CN"/>
        </w:rPr>
        <w:t>18967751006</w:t>
      </w:r>
    </w:p>
    <w:p>
      <w:pPr>
        <w:widowControl/>
        <w:spacing w:line="360" w:lineRule="auto"/>
        <w:ind w:left="62" w:right="62"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传真：</w:t>
      </w:r>
      <w:r>
        <w:rPr>
          <w:rFonts w:hint="eastAsia" w:ascii="宋体" w:hAnsi="宋体" w:eastAsia="宋体" w:cs="宋体"/>
          <w:bCs/>
          <w:color w:val="auto"/>
          <w:sz w:val="22"/>
          <w:szCs w:val="22"/>
          <w:highlight w:val="none"/>
          <w:lang w:eastAsia="zh-CN"/>
        </w:rPr>
        <w:t>0577-86071211</w:t>
      </w:r>
    </w:p>
    <w:p>
      <w:pPr>
        <w:pStyle w:val="28"/>
        <w:spacing w:before="75" w:beforeAutospacing="0" w:after="75" w:afterAutospacing="0" w:line="360" w:lineRule="atLeast"/>
        <w:ind w:firstLine="43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3、</w:t>
      </w:r>
      <w:r>
        <w:rPr>
          <w:rFonts w:hint="eastAsia" w:ascii="宋体" w:hAnsi="宋体" w:eastAsia="宋体" w:cs="宋体"/>
          <w:color w:val="auto"/>
          <w:sz w:val="22"/>
          <w:szCs w:val="22"/>
          <w:highlight w:val="none"/>
        </w:rPr>
        <w:t>采购监督管理部门名称：</w:t>
      </w:r>
      <w:r>
        <w:rPr>
          <w:rFonts w:hint="eastAsia" w:ascii="宋体" w:hAnsi="宋体" w:eastAsia="宋体" w:cs="宋体"/>
          <w:color w:val="auto"/>
          <w:sz w:val="22"/>
          <w:szCs w:val="22"/>
          <w:highlight w:val="none"/>
          <w:lang w:eastAsia="zh-CN"/>
        </w:rPr>
        <w:t>温州市铁路与轨道交通投资集团有限公司合同法务部（综合监督部）</w:t>
      </w:r>
    </w:p>
    <w:p>
      <w:pPr>
        <w:pStyle w:val="28"/>
        <w:spacing w:before="0" w:beforeAutospacing="0" w:after="0" w:afterAutospacing="0" w:line="360" w:lineRule="atLeast"/>
        <w:ind w:left="60" w:right="60" w:firstLine="43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联系电话：</w:t>
      </w:r>
      <w:r>
        <w:rPr>
          <w:rFonts w:hint="eastAsia" w:ascii="宋体" w:hAnsi="宋体" w:eastAsia="宋体" w:cs="宋体"/>
          <w:color w:val="auto"/>
          <w:sz w:val="22"/>
          <w:szCs w:val="22"/>
          <w:highlight w:val="none"/>
          <w:lang w:eastAsia="zh-CN"/>
        </w:rPr>
        <w:t>0577-88927610</w:t>
      </w:r>
    </w:p>
    <w:p>
      <w:pPr>
        <w:widowControl/>
        <w:spacing w:line="400" w:lineRule="exact"/>
        <w:jc w:val="righ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温州市铁路与轨道交通投资集团有限公司</w:t>
      </w:r>
    </w:p>
    <w:p>
      <w:pPr>
        <w:widowControl/>
        <w:spacing w:line="400" w:lineRule="exact"/>
        <w:jc w:val="righ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浙江省成套招标代理有限公司</w:t>
      </w:r>
    </w:p>
    <w:p>
      <w:pPr>
        <w:widowControl/>
        <w:spacing w:line="400" w:lineRule="exact"/>
        <w:jc w:val="righ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2023年</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sz w:val="22"/>
          <w:szCs w:val="22"/>
          <w:highlight w:val="none"/>
        </w:rPr>
        <w:t>月</w:t>
      </w:r>
      <w:r>
        <w:rPr>
          <w:rFonts w:hint="eastAsia" w:ascii="宋体" w:hAnsi="宋体" w:cs="宋体"/>
          <w:color w:val="auto"/>
          <w:sz w:val="22"/>
          <w:szCs w:val="22"/>
          <w:highlight w:val="none"/>
          <w:lang w:val="en-US" w:eastAsia="zh-CN"/>
        </w:rPr>
        <w:t>17</w:t>
      </w:r>
      <w:r>
        <w:rPr>
          <w:rFonts w:hint="eastAsia" w:ascii="宋体" w:hAnsi="宋体" w:eastAsia="宋体" w:cs="宋体"/>
          <w:color w:val="auto"/>
          <w:sz w:val="22"/>
          <w:szCs w:val="22"/>
          <w:highlight w:val="none"/>
        </w:rPr>
        <w:t>日</w:t>
      </w:r>
    </w:p>
    <w:p>
      <w:pPr>
        <w:pStyle w:val="8"/>
        <w:ind w:firstLine="210"/>
        <w:rPr>
          <w:rFonts w:hint="eastAsia" w:ascii="宋体" w:hAnsi="宋体" w:eastAsia="宋体" w:cs="宋体"/>
          <w:color w:val="auto"/>
          <w:highlight w:val="none"/>
        </w:rPr>
      </w:pPr>
    </w:p>
    <w:p>
      <w:pPr>
        <w:pStyle w:val="2"/>
        <w:rPr>
          <w:rFonts w:hint="eastAsia" w:ascii="宋体" w:hAnsi="宋体" w:eastAsia="宋体" w:cs="宋体"/>
          <w:b w:val="0"/>
          <w:bCs w:val="0"/>
          <w:color w:val="auto"/>
          <w:sz w:val="36"/>
          <w:szCs w:val="36"/>
          <w:highlight w:val="none"/>
        </w:rPr>
      </w:pPr>
      <w:bookmarkStart w:id="27" w:name="_Toc12504"/>
      <w:bookmarkStart w:id="28" w:name="_Toc75948395"/>
      <w:bookmarkStart w:id="29" w:name="_Toc1649"/>
      <w:r>
        <w:rPr>
          <w:rFonts w:hint="eastAsia" w:ascii="宋体" w:hAnsi="宋体" w:eastAsia="宋体" w:cs="宋体"/>
          <w:b w:val="0"/>
          <w:bCs w:val="0"/>
          <w:color w:val="auto"/>
          <w:sz w:val="36"/>
          <w:szCs w:val="36"/>
          <w:highlight w:val="none"/>
        </w:rPr>
        <w:br w:type="page"/>
      </w:r>
      <w:r>
        <w:rPr>
          <w:rFonts w:hint="eastAsia" w:ascii="宋体" w:hAnsi="宋体" w:eastAsia="宋体" w:cs="宋体"/>
          <w:b/>
          <w:bCs/>
          <w:color w:val="auto"/>
          <w:sz w:val="36"/>
          <w:szCs w:val="36"/>
          <w:highlight w:val="none"/>
        </w:rPr>
        <w:t>温州市铁路与轨道交通投资集团有限公司关于</w:t>
      </w:r>
      <w:r>
        <w:rPr>
          <w:rFonts w:hint="eastAsia" w:ascii="宋体" w:hAnsi="宋体" w:eastAsia="宋体" w:cs="宋体"/>
          <w:b/>
          <w:bCs/>
          <w:color w:val="auto"/>
          <w:sz w:val="36"/>
          <w:szCs w:val="36"/>
          <w:highlight w:val="none"/>
          <w:lang w:eastAsia="zh-CN"/>
        </w:rPr>
        <w:t>2023年超短期融资券承销服务项目</w:t>
      </w:r>
      <w:r>
        <w:rPr>
          <w:rFonts w:hint="eastAsia" w:ascii="宋体" w:hAnsi="宋体" w:eastAsia="宋体" w:cs="宋体"/>
          <w:b/>
          <w:bCs/>
          <w:color w:val="auto"/>
          <w:sz w:val="36"/>
          <w:szCs w:val="36"/>
          <w:highlight w:val="none"/>
        </w:rPr>
        <w:t>采购文件征求意见公示</w:t>
      </w:r>
      <w:bookmarkEnd w:id="27"/>
      <w:bookmarkEnd w:id="28"/>
      <w:bookmarkEnd w:id="29"/>
    </w:p>
    <w:p>
      <w:pPr>
        <w:widowControl/>
        <w:spacing w:line="400" w:lineRule="exact"/>
        <w:ind w:firstLine="440" w:firstLineChars="200"/>
        <w:jc w:val="left"/>
        <w:rPr>
          <w:rFonts w:hint="eastAsia" w:ascii="宋体" w:hAnsi="宋体" w:eastAsia="宋体" w:cs="宋体"/>
          <w:color w:val="auto"/>
          <w:sz w:val="22"/>
          <w:szCs w:val="22"/>
          <w:highlight w:val="none"/>
        </w:rPr>
      </w:pPr>
    </w:p>
    <w:p>
      <w:pPr>
        <w:widowControl/>
        <w:spacing w:line="40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lang w:eastAsia="zh-CN"/>
        </w:rPr>
        <w:t>浙江省成套招标代理有限公司</w:t>
      </w:r>
      <w:r>
        <w:rPr>
          <w:rFonts w:hint="eastAsia" w:ascii="宋体" w:hAnsi="宋体" w:eastAsia="宋体" w:cs="宋体"/>
          <w:color w:val="auto"/>
          <w:sz w:val="22"/>
          <w:szCs w:val="22"/>
          <w:highlight w:val="none"/>
        </w:rPr>
        <w:t>受</w:t>
      </w:r>
      <w:r>
        <w:rPr>
          <w:rFonts w:hint="eastAsia" w:ascii="宋体" w:hAnsi="宋体" w:eastAsia="宋体" w:cs="宋体"/>
          <w:color w:val="auto"/>
          <w:sz w:val="22"/>
          <w:szCs w:val="22"/>
          <w:highlight w:val="none"/>
          <w:u w:val="single"/>
        </w:rPr>
        <w:t>温州市铁路与轨道交通投资集团有限公司</w:t>
      </w:r>
      <w:r>
        <w:rPr>
          <w:rFonts w:hint="eastAsia" w:ascii="宋体" w:hAnsi="宋体" w:eastAsia="宋体" w:cs="宋体"/>
          <w:color w:val="auto"/>
          <w:sz w:val="22"/>
          <w:szCs w:val="22"/>
          <w:highlight w:val="none"/>
        </w:rPr>
        <w:t>委托，就</w:t>
      </w:r>
      <w:r>
        <w:rPr>
          <w:rFonts w:hint="eastAsia" w:ascii="宋体" w:hAnsi="宋体" w:eastAsia="宋体" w:cs="宋体"/>
          <w:color w:val="auto"/>
          <w:sz w:val="22"/>
          <w:szCs w:val="22"/>
          <w:highlight w:val="none"/>
          <w:u w:val="single"/>
          <w:lang w:eastAsia="zh-CN"/>
        </w:rPr>
        <w:t>2023年超短期融资券承销服务项目</w:t>
      </w:r>
      <w:r>
        <w:rPr>
          <w:rFonts w:hint="eastAsia" w:ascii="宋体" w:hAnsi="宋体" w:eastAsia="宋体" w:cs="宋体"/>
          <w:color w:val="auto"/>
          <w:sz w:val="22"/>
          <w:szCs w:val="22"/>
          <w:highlight w:val="none"/>
        </w:rPr>
        <w:t>以公开招标方式进行国企采购。现将采购文件公布如下,并公开征求投标供应商及专家意见。</w:t>
      </w:r>
    </w:p>
    <w:p>
      <w:pPr>
        <w:widowControl/>
        <w:spacing w:line="40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一、征求意见范围：</w:t>
      </w:r>
    </w:p>
    <w:p>
      <w:pPr>
        <w:widowControl/>
        <w:spacing w:line="40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1、是否出现明显的倾向性意见和特定的性能指标；</w:t>
      </w:r>
    </w:p>
    <w:p>
      <w:pPr>
        <w:widowControl/>
        <w:spacing w:line="40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2、影响国有企业采购“公开、公平、公正”原则的其他情况。</w:t>
      </w:r>
    </w:p>
    <w:p>
      <w:pPr>
        <w:widowControl/>
        <w:spacing w:line="40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二、征求意见的回复：</w:t>
      </w:r>
    </w:p>
    <w:p>
      <w:pPr>
        <w:widowControl/>
        <w:spacing w:line="40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各投标供应商及专家提出修改理由和建议的，请于</w:t>
      </w:r>
      <w:r>
        <w:rPr>
          <w:rFonts w:hint="eastAsia" w:ascii="宋体" w:hAnsi="宋体" w:eastAsia="宋体" w:cs="宋体"/>
          <w:color w:val="auto"/>
          <w:sz w:val="22"/>
          <w:szCs w:val="22"/>
          <w:highlight w:val="none"/>
          <w:u w:val="single"/>
          <w:lang w:eastAsia="zh-CN"/>
        </w:rPr>
        <w:t>2023年</w:t>
      </w:r>
      <w:r>
        <w:rPr>
          <w:rFonts w:hint="eastAsia" w:ascii="宋体" w:hAnsi="宋体" w:cs="宋体"/>
          <w:color w:val="auto"/>
          <w:sz w:val="22"/>
          <w:szCs w:val="22"/>
          <w:highlight w:val="none"/>
          <w:u w:val="single"/>
          <w:lang w:val="en-US" w:eastAsia="zh-CN"/>
        </w:rPr>
        <w:t>3</w:t>
      </w:r>
      <w:r>
        <w:rPr>
          <w:rFonts w:hint="eastAsia" w:ascii="宋体" w:hAnsi="宋体" w:eastAsia="宋体" w:cs="宋体"/>
          <w:color w:val="auto"/>
          <w:sz w:val="22"/>
          <w:szCs w:val="22"/>
          <w:highlight w:val="none"/>
          <w:u w:val="single"/>
        </w:rPr>
        <w:t>月</w:t>
      </w:r>
      <w:r>
        <w:rPr>
          <w:rFonts w:hint="eastAsia" w:ascii="宋体" w:hAnsi="宋体" w:cs="宋体"/>
          <w:color w:val="auto"/>
          <w:sz w:val="22"/>
          <w:szCs w:val="22"/>
          <w:highlight w:val="none"/>
          <w:u w:val="single"/>
          <w:lang w:val="en-US" w:eastAsia="zh-CN"/>
        </w:rPr>
        <w:t>20</w:t>
      </w:r>
      <w:r>
        <w:rPr>
          <w:rFonts w:hint="eastAsia" w:ascii="宋体" w:hAnsi="宋体" w:eastAsia="宋体" w:cs="宋体"/>
          <w:color w:val="auto"/>
          <w:sz w:val="22"/>
          <w:szCs w:val="22"/>
          <w:highlight w:val="none"/>
          <w:u w:val="single"/>
        </w:rPr>
        <w:t>日</w:t>
      </w:r>
      <w:r>
        <w:rPr>
          <w:rFonts w:hint="eastAsia" w:ascii="宋体" w:hAnsi="宋体" w:eastAsia="宋体" w:cs="宋体"/>
          <w:color w:val="auto"/>
          <w:sz w:val="22"/>
          <w:szCs w:val="22"/>
          <w:highlight w:val="none"/>
        </w:rPr>
        <w:t>下午1</w:t>
      </w:r>
      <w:r>
        <w:rPr>
          <w:rFonts w:hint="eastAsia" w:ascii="宋体" w:hAnsi="宋体" w:eastAsia="宋体" w:cs="宋体"/>
          <w:color w:val="auto"/>
          <w:sz w:val="22"/>
          <w:szCs w:val="22"/>
          <w:highlight w:val="none"/>
          <w:lang w:val="en-US" w:eastAsia="zh-CN"/>
        </w:rPr>
        <w:t>7</w:t>
      </w:r>
      <w:r>
        <w:rPr>
          <w:rFonts w:hint="eastAsia" w:ascii="宋体" w:hAnsi="宋体" w:eastAsia="宋体" w:cs="宋体"/>
          <w:color w:val="auto"/>
          <w:sz w:val="22"/>
          <w:szCs w:val="22"/>
          <w:highlight w:val="none"/>
        </w:rPr>
        <w:t>:30前（节假日除外）将书面材料签字（盖章）并密封后送至</w:t>
      </w:r>
      <w:r>
        <w:rPr>
          <w:rFonts w:hint="eastAsia" w:ascii="宋体" w:hAnsi="宋体" w:eastAsia="宋体" w:cs="宋体"/>
          <w:color w:val="auto"/>
          <w:sz w:val="22"/>
          <w:szCs w:val="22"/>
          <w:highlight w:val="none"/>
          <w:u w:val="single"/>
          <w:lang w:eastAsia="zh-CN"/>
        </w:rPr>
        <w:t>温州市温州大道展宏大厦2栋702室</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，外地可传真送达，传真：0577-</w:t>
      </w:r>
      <w:r>
        <w:rPr>
          <w:rFonts w:hint="eastAsia" w:ascii="宋体" w:hAnsi="宋体" w:eastAsia="宋体" w:cs="宋体"/>
          <w:color w:val="auto"/>
          <w:sz w:val="22"/>
          <w:szCs w:val="22"/>
          <w:highlight w:val="none"/>
          <w:u w:val="single"/>
          <w:lang w:eastAsia="zh-CN"/>
        </w:rPr>
        <w:t>86071211</w:t>
      </w:r>
      <w:r>
        <w:rPr>
          <w:rFonts w:hint="eastAsia" w:ascii="宋体" w:hAnsi="宋体" w:eastAsia="宋体" w:cs="宋体"/>
          <w:color w:val="auto"/>
          <w:sz w:val="22"/>
          <w:szCs w:val="22"/>
          <w:highlight w:val="none"/>
        </w:rPr>
        <w:t xml:space="preserve">，传真件必须签字（盖章）。同时将word版电子文档发送至以下信箱： </w:t>
      </w:r>
      <w:r>
        <w:rPr>
          <w:rFonts w:hint="eastAsia" w:ascii="宋体" w:hAnsi="宋体" w:eastAsia="宋体" w:cs="宋体"/>
          <w:color w:val="auto"/>
          <w:sz w:val="22"/>
          <w:szCs w:val="22"/>
          <w:highlight w:val="none"/>
          <w:u w:val="single"/>
          <w:lang w:eastAsia="zh-CN"/>
        </w:rPr>
        <w:t>53514766@qq.com</w:t>
      </w:r>
      <w:r>
        <w:rPr>
          <w:rFonts w:hint="eastAsia" w:ascii="宋体" w:hAnsi="宋体" w:eastAsia="宋体" w:cs="宋体"/>
          <w:color w:val="auto"/>
          <w:sz w:val="22"/>
          <w:szCs w:val="22"/>
          <w:highlight w:val="none"/>
        </w:rPr>
        <w:t>。</w:t>
      </w:r>
    </w:p>
    <w:p>
      <w:pPr>
        <w:widowControl/>
        <w:spacing w:line="40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联系人：</w:t>
      </w:r>
      <w:r>
        <w:rPr>
          <w:rFonts w:hint="eastAsia" w:ascii="宋体" w:hAnsi="宋体" w:eastAsia="宋体" w:cs="宋体"/>
          <w:color w:val="auto"/>
          <w:sz w:val="22"/>
          <w:szCs w:val="22"/>
          <w:highlight w:val="none"/>
          <w:u w:val="single"/>
          <w:lang w:val="en-US" w:eastAsia="zh-CN"/>
        </w:rPr>
        <w:t>邵海勇</w:t>
      </w:r>
      <w:r>
        <w:rPr>
          <w:rFonts w:hint="eastAsia" w:ascii="宋体" w:hAnsi="宋体" w:eastAsia="宋体" w:cs="宋体"/>
          <w:color w:val="auto"/>
          <w:sz w:val="22"/>
          <w:szCs w:val="22"/>
          <w:highlight w:val="none"/>
          <w:u w:val="single"/>
        </w:rPr>
        <w:t>,</w:t>
      </w:r>
      <w:r>
        <w:rPr>
          <w:rFonts w:hint="eastAsia" w:ascii="宋体" w:hAnsi="宋体" w:eastAsia="宋体" w:cs="宋体"/>
          <w:color w:val="auto"/>
          <w:sz w:val="22"/>
          <w:szCs w:val="22"/>
          <w:highlight w:val="none"/>
        </w:rPr>
        <w:t>联系电话：</w:t>
      </w:r>
      <w:r>
        <w:rPr>
          <w:rFonts w:hint="eastAsia" w:ascii="宋体" w:hAnsi="宋体" w:eastAsia="宋体" w:cs="宋体"/>
          <w:color w:val="auto"/>
          <w:sz w:val="22"/>
          <w:szCs w:val="22"/>
          <w:highlight w:val="none"/>
          <w:u w:val="single"/>
          <w:lang w:eastAsia="zh-CN"/>
        </w:rPr>
        <w:t>1</w:t>
      </w:r>
      <w:r>
        <w:rPr>
          <w:rFonts w:hint="eastAsia" w:ascii="宋体" w:hAnsi="宋体" w:eastAsia="宋体" w:cs="宋体"/>
          <w:color w:val="auto"/>
          <w:sz w:val="22"/>
          <w:szCs w:val="22"/>
          <w:highlight w:val="none"/>
          <w:u w:val="single"/>
          <w:lang w:val="en-US" w:eastAsia="zh-CN"/>
        </w:rPr>
        <w:t>8967751006</w:t>
      </w:r>
      <w:r>
        <w:rPr>
          <w:rFonts w:hint="eastAsia" w:ascii="宋体" w:hAnsi="宋体" w:eastAsia="宋体" w:cs="宋体"/>
          <w:color w:val="auto"/>
          <w:sz w:val="22"/>
          <w:szCs w:val="22"/>
          <w:highlight w:val="none"/>
        </w:rPr>
        <w:t>。对逾期送达的意见、建议书恕不接受。</w:t>
      </w:r>
    </w:p>
    <w:p>
      <w:pPr>
        <w:pStyle w:val="8"/>
        <w:ind w:firstLine="210"/>
        <w:rPr>
          <w:rFonts w:hint="eastAsia" w:ascii="宋体" w:hAnsi="宋体" w:eastAsia="宋体" w:cs="宋体"/>
          <w:color w:val="auto"/>
          <w:highlight w:val="none"/>
        </w:rPr>
      </w:pPr>
    </w:p>
    <w:p>
      <w:pPr>
        <w:widowControl/>
        <w:spacing w:line="400" w:lineRule="exact"/>
        <w:jc w:val="righ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温州市铁路与轨道交通投资集团有限公司</w:t>
      </w:r>
    </w:p>
    <w:p>
      <w:pPr>
        <w:widowControl/>
        <w:spacing w:line="400" w:lineRule="exact"/>
        <w:jc w:val="righ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浙江省成套招标代理有限公司</w:t>
      </w:r>
    </w:p>
    <w:p>
      <w:pPr>
        <w:widowControl/>
        <w:spacing w:line="400" w:lineRule="exact"/>
        <w:jc w:val="righ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2023年</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月</w:t>
      </w:r>
      <w:r>
        <w:rPr>
          <w:rFonts w:hint="eastAsia" w:ascii="宋体" w:hAnsi="宋体" w:cs="宋体"/>
          <w:color w:val="auto"/>
          <w:kern w:val="0"/>
          <w:sz w:val="22"/>
          <w:szCs w:val="22"/>
          <w:highlight w:val="none"/>
          <w:lang w:val="en-US" w:eastAsia="zh-CN"/>
        </w:rPr>
        <w:t>17</w:t>
      </w:r>
      <w:r>
        <w:rPr>
          <w:rFonts w:hint="eastAsia" w:ascii="宋体" w:hAnsi="宋体" w:eastAsia="宋体" w:cs="宋体"/>
          <w:color w:val="auto"/>
          <w:kern w:val="0"/>
          <w:sz w:val="22"/>
          <w:szCs w:val="22"/>
          <w:highlight w:val="none"/>
        </w:rPr>
        <w:t>日</w:t>
      </w:r>
    </w:p>
    <w:p>
      <w:pPr>
        <w:pStyle w:val="2"/>
        <w:overflowPunct w:val="0"/>
        <w:rPr>
          <w:rFonts w:hint="eastAsia" w:ascii="宋体" w:hAnsi="宋体" w:eastAsia="宋体" w:cs="宋体"/>
          <w:b w:val="0"/>
          <w:bCs w:val="0"/>
          <w:color w:val="auto"/>
          <w:sz w:val="36"/>
          <w:szCs w:val="36"/>
          <w:highlight w:val="none"/>
        </w:rPr>
      </w:pPr>
      <w:bookmarkStart w:id="30" w:name="_Toc13602"/>
      <w:bookmarkStart w:id="31" w:name="_Toc10872"/>
    </w:p>
    <w:p>
      <w:pPr>
        <w:rPr>
          <w:rFonts w:hint="eastAsia" w:ascii="宋体" w:hAnsi="宋体" w:eastAsia="宋体" w:cs="宋体"/>
          <w:color w:val="auto"/>
          <w:sz w:val="36"/>
          <w:szCs w:val="36"/>
          <w:highlight w:val="none"/>
        </w:rPr>
      </w:pPr>
    </w:p>
    <w:p>
      <w:pPr>
        <w:pStyle w:val="2"/>
        <w:overflowPunct w:val="0"/>
        <w:rPr>
          <w:rFonts w:hint="eastAsia" w:ascii="宋体" w:hAnsi="宋体" w:eastAsia="宋体" w:cs="宋体"/>
          <w:color w:val="auto"/>
          <w:sz w:val="36"/>
          <w:szCs w:val="36"/>
          <w:highlight w:val="none"/>
        </w:rPr>
      </w:pPr>
      <w:bookmarkStart w:id="32" w:name="_Toc75948396"/>
      <w:r>
        <w:rPr>
          <w:rFonts w:hint="eastAsia" w:ascii="宋体" w:hAnsi="宋体" w:eastAsia="宋体" w:cs="宋体"/>
          <w:b w:val="0"/>
          <w:bCs w:val="0"/>
          <w:color w:val="auto"/>
          <w:sz w:val="36"/>
          <w:szCs w:val="36"/>
          <w:highlight w:val="none"/>
        </w:rPr>
        <w:br w:type="page"/>
      </w:r>
      <w:r>
        <w:rPr>
          <w:rFonts w:hint="eastAsia" w:ascii="宋体" w:hAnsi="宋体" w:eastAsia="宋体" w:cs="宋体"/>
          <w:b w:val="0"/>
          <w:bCs w:val="0"/>
          <w:color w:val="auto"/>
          <w:sz w:val="36"/>
          <w:szCs w:val="36"/>
          <w:highlight w:val="none"/>
        </w:rPr>
        <w:t>投标供应商须知前附表</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30"/>
      <w:bookmarkEnd w:id="31"/>
      <w:bookmarkEnd w:id="32"/>
    </w:p>
    <w:tbl>
      <w:tblPr>
        <w:tblStyle w:val="36"/>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4"/>
        <w:gridCol w:w="1750"/>
        <w:gridCol w:w="7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序号</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条款名称</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采购人</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采购人名称：温州市铁路与轨道交通投资集团有限公司</w:t>
            </w:r>
          </w:p>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采购人地址：温州市温州大道2305号轨道交通控制中心</w:t>
            </w:r>
          </w:p>
          <w:p>
            <w:pPr>
              <w:widowControl w:val="0"/>
              <w:spacing w:line="300" w:lineRule="exact"/>
              <w:ind w:right="0"/>
              <w:jc w:val="both"/>
              <w:rPr>
                <w:rFonts w:hint="eastAsia" w:ascii="宋体" w:hAnsi="宋体" w:eastAsia="宋体" w:cs="宋体"/>
                <w:bCs w:val="0"/>
                <w:color w:val="auto"/>
                <w:kern w:val="0"/>
                <w:sz w:val="22"/>
                <w:szCs w:val="22"/>
                <w:highlight w:val="none"/>
              </w:rPr>
            </w:pPr>
            <w:r>
              <w:rPr>
                <w:rFonts w:hint="eastAsia" w:ascii="宋体" w:hAnsi="宋体" w:eastAsia="宋体" w:cs="宋体"/>
                <w:bCs w:val="0"/>
                <w:color w:val="auto"/>
                <w:kern w:val="0"/>
                <w:sz w:val="22"/>
                <w:szCs w:val="22"/>
                <w:highlight w:val="none"/>
              </w:rPr>
              <w:t>联系人：</w:t>
            </w:r>
            <w:r>
              <w:rPr>
                <w:rFonts w:hint="eastAsia" w:ascii="宋体" w:hAnsi="宋体" w:eastAsia="宋体" w:cs="宋体"/>
                <w:bCs w:val="0"/>
                <w:color w:val="auto"/>
                <w:kern w:val="0"/>
                <w:sz w:val="22"/>
                <w:szCs w:val="22"/>
                <w:highlight w:val="none"/>
                <w:lang w:eastAsia="zh-CN"/>
              </w:rPr>
              <w:t>干工</w:t>
            </w:r>
          </w:p>
          <w:p>
            <w:pPr>
              <w:widowControl w:val="0"/>
              <w:spacing w:line="300" w:lineRule="exact"/>
              <w:ind w:right="0"/>
              <w:jc w:val="both"/>
              <w:rPr>
                <w:rFonts w:hint="eastAsia" w:ascii="宋体" w:hAnsi="宋体" w:eastAsia="宋体" w:cs="宋体"/>
                <w:color w:val="auto"/>
                <w:kern w:val="0"/>
                <w:sz w:val="22"/>
                <w:szCs w:val="22"/>
                <w:highlight w:val="none"/>
              </w:rPr>
            </w:pPr>
            <w:r>
              <w:rPr>
                <w:rFonts w:hint="eastAsia" w:ascii="宋体" w:hAnsi="宋体" w:eastAsia="宋体" w:cs="宋体"/>
                <w:bCs w:val="0"/>
                <w:color w:val="auto"/>
                <w:kern w:val="0"/>
                <w:sz w:val="22"/>
                <w:szCs w:val="22"/>
                <w:highlight w:val="none"/>
              </w:rPr>
              <w:t>联系电话：</w:t>
            </w:r>
            <w:r>
              <w:rPr>
                <w:rFonts w:hint="eastAsia" w:ascii="宋体" w:hAnsi="宋体" w:eastAsia="宋体" w:cs="宋体"/>
                <w:bCs w:val="0"/>
                <w:color w:val="auto"/>
                <w:kern w:val="0"/>
                <w:sz w:val="22"/>
                <w:szCs w:val="22"/>
                <w:highlight w:val="none"/>
                <w:lang w:eastAsia="zh-CN"/>
              </w:rPr>
              <w:t>0577-89727598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采购代理机构</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代理机构名称：</w:t>
            </w:r>
            <w:r>
              <w:rPr>
                <w:rFonts w:hint="eastAsia" w:ascii="宋体" w:hAnsi="宋体" w:eastAsia="宋体" w:cs="宋体"/>
                <w:color w:val="auto"/>
                <w:kern w:val="0"/>
                <w:sz w:val="22"/>
                <w:szCs w:val="22"/>
                <w:highlight w:val="none"/>
                <w:lang w:eastAsia="zh-CN"/>
              </w:rPr>
              <w:t>浙江省成套招标代理有限公司</w:t>
            </w:r>
          </w:p>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代理机构地址：</w:t>
            </w:r>
            <w:r>
              <w:rPr>
                <w:rFonts w:hint="eastAsia" w:ascii="宋体" w:hAnsi="宋体" w:eastAsia="宋体" w:cs="宋体"/>
                <w:color w:val="auto"/>
                <w:kern w:val="0"/>
                <w:sz w:val="22"/>
                <w:szCs w:val="22"/>
                <w:highlight w:val="none"/>
                <w:lang w:eastAsia="zh-CN"/>
              </w:rPr>
              <w:t>温州市温州大道展宏大厦2栋702室</w:t>
            </w:r>
          </w:p>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项目经办人：</w:t>
            </w:r>
            <w:r>
              <w:rPr>
                <w:rFonts w:hint="eastAsia" w:ascii="宋体" w:hAnsi="宋体" w:eastAsia="宋体" w:cs="宋体"/>
                <w:color w:val="auto"/>
                <w:kern w:val="0"/>
                <w:sz w:val="22"/>
                <w:szCs w:val="22"/>
                <w:highlight w:val="none"/>
                <w:lang w:eastAsia="zh-CN"/>
              </w:rPr>
              <w:t>邵海勇</w:t>
            </w:r>
          </w:p>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联系电话：</w:t>
            </w:r>
            <w:r>
              <w:rPr>
                <w:rFonts w:hint="eastAsia" w:ascii="宋体" w:hAnsi="宋体" w:eastAsia="宋体" w:cs="宋体"/>
                <w:color w:val="auto"/>
                <w:kern w:val="0"/>
                <w:sz w:val="22"/>
                <w:szCs w:val="22"/>
                <w:highlight w:val="none"/>
                <w:lang w:eastAsia="zh-CN"/>
              </w:rPr>
              <w:t>18967751006</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eastAsia="zh-CN"/>
              </w:rPr>
              <w:t>0577-86071211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采购项目名称及</w:t>
            </w:r>
            <w:r>
              <w:rPr>
                <w:rFonts w:hint="eastAsia" w:ascii="宋体" w:hAnsi="宋体" w:eastAsia="宋体" w:cs="宋体"/>
                <w:color w:val="auto"/>
                <w:kern w:val="0"/>
                <w:sz w:val="22"/>
                <w:szCs w:val="22"/>
                <w:highlight w:val="none"/>
                <w:lang w:eastAsia="zh-CN"/>
              </w:rPr>
              <w:t>项目编号</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采购项目名称：</w:t>
            </w:r>
            <w:r>
              <w:rPr>
                <w:rFonts w:hint="eastAsia" w:ascii="宋体" w:hAnsi="宋体" w:eastAsia="宋体" w:cs="宋体"/>
                <w:color w:val="auto"/>
                <w:kern w:val="0"/>
                <w:sz w:val="22"/>
                <w:szCs w:val="22"/>
                <w:highlight w:val="none"/>
                <w:lang w:eastAsia="zh-CN"/>
              </w:rPr>
              <w:t>2023年超短期融资券承销服务项目</w:t>
            </w:r>
          </w:p>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项目编号</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eastAsia="zh-CN"/>
              </w:rPr>
              <w:t>WGSS-TTJT-X-2023003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服务地点</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浙江省温州市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偏</w:t>
            </w:r>
            <w:r>
              <w:rPr>
                <w:rFonts w:hint="eastAsia" w:ascii="宋体" w:hAnsi="宋体" w:eastAsia="宋体" w:cs="宋体"/>
                <w:color w:val="auto"/>
                <w:kern w:val="0"/>
                <w:sz w:val="22"/>
                <w:szCs w:val="22"/>
                <w:highlight w:val="none"/>
                <w:lang w:val="en-US" w:eastAsia="zh-CN"/>
              </w:rPr>
              <w:t>差</w:t>
            </w:r>
            <w:r>
              <w:rPr>
                <w:rFonts w:hint="eastAsia" w:ascii="宋体" w:hAnsi="宋体" w:eastAsia="宋体" w:cs="宋体"/>
                <w:color w:val="auto"/>
                <w:kern w:val="0"/>
                <w:sz w:val="22"/>
                <w:szCs w:val="22"/>
                <w:highlight w:val="none"/>
              </w:rPr>
              <w:t>情况</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偏差允许幅度及其处理方法：允许细微偏差，不允许重大偏差。由评标委员会判断，细微偏差要求投标供应商在评标结束前予以澄清、说明或补正，不按要求进行的，评标委员会有权做无效标处理，详见投标供应商须知“22.</w:t>
            </w:r>
            <w:r>
              <w:rPr>
                <w:rFonts w:hint="eastAsia" w:ascii="宋体" w:hAnsi="宋体" w:eastAsia="宋体" w:cs="宋体"/>
                <w:color w:val="auto"/>
                <w:kern w:val="0"/>
                <w:sz w:val="22"/>
                <w:szCs w:val="22"/>
                <w:highlight w:val="none"/>
                <w:lang w:eastAsia="zh-CN"/>
              </w:rPr>
              <w:t>投标文件</w:t>
            </w:r>
            <w:r>
              <w:rPr>
                <w:rFonts w:hint="eastAsia" w:ascii="宋体" w:hAnsi="宋体" w:eastAsia="宋体" w:cs="宋体"/>
                <w:color w:val="auto"/>
                <w:kern w:val="0"/>
                <w:sz w:val="22"/>
                <w:szCs w:val="22"/>
                <w:highlight w:val="none"/>
              </w:rPr>
              <w:t>的澄清。”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资金落实情况</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采购内容</w:t>
            </w:r>
          </w:p>
        </w:tc>
        <w:tc>
          <w:tcPr>
            <w:tcW w:w="7310" w:type="dxa"/>
            <w:tcBorders>
              <w:top w:val="single" w:color="auto" w:sz="4" w:space="0"/>
              <w:left w:val="single" w:color="auto" w:sz="4" w:space="0"/>
              <w:bottom w:val="single" w:color="auto" w:sz="4" w:space="0"/>
              <w:right w:val="single" w:color="auto" w:sz="4" w:space="0"/>
            </w:tcBorders>
            <w:vAlign w:val="center"/>
          </w:tcPr>
          <w:p>
            <w:pPr>
              <w:pStyle w:val="8"/>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本次采购的温州市铁路与轨道交通投资集团有限公司超短期融资券承销服务机构，为本次债券提供承做、承销以及后续管理等所有服务</w:t>
            </w:r>
            <w:r>
              <w:rPr>
                <w:rFonts w:hint="eastAsia" w:ascii="宋体" w:hAnsi="宋体" w:eastAsia="宋体" w:cs="宋体"/>
                <w:color w:val="auto"/>
                <w:sz w:val="22"/>
                <w:szCs w:val="22"/>
                <w:highlight w:val="none"/>
              </w:rPr>
              <w:t>；发行规模不超过</w:t>
            </w:r>
            <w:r>
              <w:rPr>
                <w:rFonts w:hint="eastAsia" w:ascii="宋体" w:hAnsi="宋体" w:eastAsia="宋体" w:cs="宋体"/>
                <w:color w:val="auto"/>
                <w:sz w:val="22"/>
                <w:szCs w:val="22"/>
                <w:highlight w:val="none"/>
                <w:lang w:eastAsia="zh-CN"/>
              </w:rPr>
              <w:t>15亿</w:t>
            </w:r>
            <w:r>
              <w:rPr>
                <w:rFonts w:hint="eastAsia" w:ascii="宋体" w:hAnsi="宋体" w:eastAsia="宋体" w:cs="宋体"/>
                <w:color w:val="auto"/>
                <w:sz w:val="22"/>
                <w:szCs w:val="22"/>
                <w:highlight w:val="none"/>
              </w:rPr>
              <w:t>元，本项目采购预算</w:t>
            </w:r>
            <w:r>
              <w:rPr>
                <w:rFonts w:hint="eastAsia" w:ascii="宋体" w:hAnsi="宋体" w:eastAsia="宋体" w:cs="宋体"/>
                <w:b/>
                <w:bCs/>
                <w:color w:val="auto"/>
                <w:sz w:val="22"/>
                <w:szCs w:val="22"/>
                <w:highlight w:val="none"/>
                <w:u w:val="single"/>
              </w:rPr>
              <w:t>详见采购公告</w:t>
            </w:r>
            <w:r>
              <w:rPr>
                <w:rFonts w:hint="eastAsia" w:ascii="宋体" w:hAnsi="宋体" w:eastAsia="宋体" w:cs="宋体"/>
                <w:color w:val="auto"/>
                <w:sz w:val="22"/>
                <w:szCs w:val="22"/>
                <w:highlight w:val="none"/>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8</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相关公告发布媒介</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铁投集团官网、</w:t>
            </w:r>
            <w:r>
              <w:rPr>
                <w:rFonts w:hint="eastAsia" w:ascii="宋体" w:hAnsi="宋体" w:eastAsia="宋体" w:cs="宋体"/>
                <w:color w:val="auto"/>
                <w:sz w:val="22"/>
                <w:szCs w:val="22"/>
                <w:highlight w:val="none"/>
              </w:rPr>
              <w:t>温州市国有企业采购信息平台及浙江政府采购网。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9</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投标供应商资格要求</w:t>
            </w:r>
          </w:p>
        </w:tc>
        <w:tc>
          <w:tcPr>
            <w:tcW w:w="73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宋体" w:cs="宋体"/>
                <w:color w:val="auto"/>
                <w:spacing w:val="6"/>
                <w:sz w:val="22"/>
                <w:szCs w:val="22"/>
                <w:highlight w:val="none"/>
              </w:rPr>
            </w:pPr>
            <w:r>
              <w:rPr>
                <w:rFonts w:hint="eastAsia" w:ascii="宋体" w:hAnsi="宋体" w:eastAsia="宋体" w:cs="宋体"/>
                <w:color w:val="auto"/>
                <w:sz w:val="22"/>
                <w:szCs w:val="22"/>
                <w:highlight w:val="none"/>
              </w:rPr>
              <w:t>详见采购公告规定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是否接受联合体投标</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详见采购公告规定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踏勘现场</w:t>
            </w:r>
          </w:p>
        </w:tc>
        <w:tc>
          <w:tcPr>
            <w:tcW w:w="731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hint="eastAsia" w:ascii="宋体" w:hAnsi="宋体" w:eastAsia="宋体" w:cs="宋体"/>
                <w:color w:val="auto"/>
                <w:kern w:val="0"/>
                <w:sz w:val="22"/>
                <w:szCs w:val="22"/>
                <w:highlight w:val="none"/>
              </w:rPr>
            </w:pPr>
            <w:r>
              <w:rPr>
                <w:rFonts w:hint="eastAsia" w:ascii="宋体" w:hAnsi="宋体" w:eastAsia="宋体" w:cs="宋体"/>
                <w:b/>
                <w:snapToGrid w:val="0"/>
                <w:color w:val="auto"/>
                <w:sz w:val="22"/>
                <w:szCs w:val="22"/>
                <w:highlight w:val="none"/>
              </w:rPr>
              <w:sym w:font="Wingdings" w:char="F0FE"/>
            </w:r>
            <w:r>
              <w:rPr>
                <w:rFonts w:hint="eastAsia" w:ascii="宋体" w:hAnsi="宋体" w:eastAsia="宋体" w:cs="宋体"/>
                <w:color w:val="auto"/>
                <w:kern w:val="0"/>
                <w:sz w:val="22"/>
                <w:szCs w:val="22"/>
                <w:highlight w:val="none"/>
              </w:rPr>
              <w:t xml:space="preserve">不组织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投标预备会</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b/>
                <w:snapToGrid w:val="0"/>
                <w:color w:val="auto"/>
                <w:sz w:val="22"/>
                <w:szCs w:val="22"/>
                <w:highlight w:val="none"/>
              </w:rPr>
              <w:sym w:font="Wingdings" w:char="F0FE"/>
            </w:r>
            <w:r>
              <w:rPr>
                <w:rFonts w:hint="eastAsia" w:ascii="宋体" w:hAnsi="宋体" w:eastAsia="宋体" w:cs="宋体"/>
                <w:color w:val="auto"/>
                <w:kern w:val="0"/>
                <w:sz w:val="22"/>
                <w:szCs w:val="22"/>
                <w:highlight w:val="none"/>
              </w:rPr>
              <w:t xml:space="preserve">不召开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17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分包</w:t>
            </w:r>
          </w:p>
        </w:tc>
        <w:tc>
          <w:tcPr>
            <w:tcW w:w="73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r>
              <w:rPr>
                <w:rFonts w:hint="eastAsia" w:ascii="宋体" w:hAnsi="宋体" w:eastAsia="宋体" w:cs="宋体"/>
                <w:b/>
                <w:snapToGrid w:val="0"/>
                <w:color w:val="auto"/>
                <w:sz w:val="22"/>
                <w:szCs w:val="22"/>
                <w:highlight w:val="none"/>
              </w:rPr>
              <w:sym w:font="Wingdings" w:char="F0FE"/>
            </w:r>
            <w:r>
              <w:rPr>
                <w:rFonts w:hint="eastAsia" w:ascii="宋体" w:hAnsi="宋体" w:eastAsia="宋体" w:cs="宋体"/>
                <w:b/>
                <w:snapToGrid w:val="0"/>
                <w:color w:val="auto"/>
                <w:sz w:val="22"/>
                <w:szCs w:val="22"/>
                <w:highlight w:val="none"/>
                <w:lang w:val="en-US" w:eastAsia="zh-CN"/>
              </w:rPr>
              <w:t>不</w:t>
            </w:r>
            <w:r>
              <w:rPr>
                <w:rFonts w:hint="eastAsia" w:ascii="宋体" w:hAnsi="宋体" w:eastAsia="宋体" w:cs="宋体"/>
                <w:color w:val="auto"/>
                <w:sz w:val="22"/>
                <w:szCs w:val="22"/>
                <w:highlight w:val="none"/>
              </w:rPr>
              <w:t>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投标有效期</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投标文件</w:t>
            </w:r>
            <w:r>
              <w:rPr>
                <w:rFonts w:hint="eastAsia" w:ascii="宋体" w:hAnsi="宋体" w:eastAsia="宋体" w:cs="宋体"/>
                <w:color w:val="auto"/>
                <w:kern w:val="0"/>
                <w:sz w:val="22"/>
                <w:szCs w:val="22"/>
                <w:highlight w:val="none"/>
              </w:rPr>
              <w:t>自投标截止时间起生效，有效期120天</w:t>
            </w:r>
            <w:r>
              <w:rPr>
                <w:rFonts w:hint="eastAsia" w:ascii="宋体" w:hAnsi="宋体" w:eastAsia="宋体" w:cs="宋体"/>
                <w:b/>
                <w:bCs/>
                <w:color w:val="auto"/>
                <w:kern w:val="0"/>
                <w:sz w:val="22"/>
                <w:szCs w:val="22"/>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15</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投标保证金</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lang w:val="en-US" w:eastAsia="zh-CN"/>
              </w:rPr>
              <w:t>本项目不要求提供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16</w:t>
            </w:r>
          </w:p>
        </w:tc>
        <w:tc>
          <w:tcPr>
            <w:tcW w:w="175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组成</w:t>
            </w:r>
          </w:p>
        </w:tc>
        <w:tc>
          <w:tcPr>
            <w:tcW w:w="731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完整的</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由“资格文件”、“报价文件”和“商务技术文件”三个部分组成。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17</w:t>
            </w:r>
          </w:p>
        </w:tc>
        <w:tc>
          <w:tcPr>
            <w:tcW w:w="175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的编制</w:t>
            </w:r>
          </w:p>
        </w:tc>
        <w:tc>
          <w:tcPr>
            <w:tcW w:w="731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供应商应先安装“政采云电子交易客户端”，并按照本采购文件和“政府采购云平台”的要求，通过“政采云电子交易客户端”编制并加密</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18</w:t>
            </w:r>
          </w:p>
        </w:tc>
        <w:tc>
          <w:tcPr>
            <w:tcW w:w="175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的签章</w:t>
            </w:r>
          </w:p>
        </w:tc>
        <w:tc>
          <w:tcPr>
            <w:tcW w:w="731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电子</w:t>
            </w:r>
            <w:r>
              <w:rPr>
                <w:rFonts w:hint="eastAsia" w:ascii="宋体" w:hAnsi="宋体" w:eastAsia="宋体" w:cs="宋体"/>
                <w:color w:val="auto"/>
                <w:sz w:val="22"/>
                <w:szCs w:val="22"/>
                <w:highlight w:val="none"/>
                <w:lang w:val="en-US" w:eastAsia="zh-CN"/>
              </w:rPr>
              <w:t>公</w:t>
            </w:r>
            <w:r>
              <w:rPr>
                <w:rFonts w:hint="eastAsia" w:ascii="宋体" w:hAnsi="宋体" w:eastAsia="宋体" w:cs="宋体"/>
                <w:color w:val="auto"/>
                <w:sz w:val="22"/>
                <w:szCs w:val="22"/>
                <w:highlight w:val="none"/>
              </w:rPr>
              <w:t>章</w:t>
            </w:r>
            <w:r>
              <w:rPr>
                <w:rFonts w:hint="eastAsia" w:ascii="宋体" w:hAnsi="宋体" w:eastAsia="宋体" w:cs="宋体"/>
                <w:color w:val="auto"/>
                <w:sz w:val="22"/>
                <w:szCs w:val="22"/>
                <w:highlight w:val="none"/>
                <w:lang w:val="en-US" w:eastAsia="zh-CN"/>
              </w:rPr>
              <w:t>或实体公章；电子签名或实体签名（盖章）均可，下同</w:t>
            </w:r>
            <w:r>
              <w:rPr>
                <w:rFonts w:hint="eastAsia" w:ascii="宋体" w:hAnsi="宋体" w:eastAsia="宋体" w:cs="宋体"/>
                <w:color w:val="auto"/>
                <w:sz w:val="22"/>
                <w:szCs w:val="22"/>
                <w:highlight w:val="none"/>
              </w:rPr>
              <w:t>。</w:t>
            </w:r>
          </w:p>
          <w:p>
            <w:pPr>
              <w:spacing w:line="30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注：政府采购云平台另有规定的，从其规定。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19</w:t>
            </w:r>
          </w:p>
        </w:tc>
        <w:tc>
          <w:tcPr>
            <w:tcW w:w="175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的形式</w:t>
            </w:r>
          </w:p>
        </w:tc>
        <w:tc>
          <w:tcPr>
            <w:tcW w:w="731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b/>
                <w:snapToGrid w:val="0"/>
                <w:color w:val="auto"/>
                <w:sz w:val="22"/>
                <w:szCs w:val="22"/>
                <w:highlight w:val="none"/>
              </w:rPr>
              <w:sym w:font="Wingdings" w:char="F0FE"/>
            </w:r>
            <w:r>
              <w:rPr>
                <w:rFonts w:hint="eastAsia" w:ascii="宋体" w:hAnsi="宋体" w:eastAsia="宋体" w:cs="宋体"/>
                <w:color w:val="auto"/>
                <w:sz w:val="22"/>
                <w:szCs w:val="22"/>
                <w:highlight w:val="none"/>
              </w:rPr>
              <w:t>电子</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（包括“电子加密</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”和“备份</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”，在</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编制完成后同时生成）；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20</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投标文件</w:t>
            </w:r>
            <w:r>
              <w:rPr>
                <w:rFonts w:hint="eastAsia" w:ascii="宋体" w:hAnsi="宋体" w:eastAsia="宋体" w:cs="宋体"/>
                <w:color w:val="auto"/>
                <w:kern w:val="0"/>
                <w:sz w:val="22"/>
                <w:szCs w:val="22"/>
                <w:highlight w:val="none"/>
              </w:rPr>
              <w:t>份数</w:t>
            </w:r>
          </w:p>
        </w:tc>
        <w:tc>
          <w:tcPr>
            <w:tcW w:w="7310" w:type="dxa"/>
            <w:tcBorders>
              <w:top w:val="single" w:color="auto" w:sz="4" w:space="0"/>
              <w:left w:val="single" w:color="auto" w:sz="4" w:space="0"/>
              <w:bottom w:val="single" w:color="auto" w:sz="4" w:space="0"/>
              <w:right w:val="single" w:color="auto" w:sz="4" w:space="0"/>
            </w:tcBorders>
            <w:vAlign w:val="center"/>
          </w:tcPr>
          <w:p>
            <w:pPr>
              <w:pStyle w:val="8"/>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“电子加密</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”：在线上传递交、一份。（2）“备份</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”：密封包装后（</w:t>
            </w:r>
            <w:r>
              <w:rPr>
                <w:rFonts w:hint="eastAsia" w:ascii="宋体" w:hAnsi="宋体" w:eastAsia="宋体" w:cs="宋体"/>
                <w:color w:val="auto"/>
                <w:sz w:val="22"/>
                <w:szCs w:val="22"/>
                <w:highlight w:val="none"/>
                <w:lang w:val="en-US" w:eastAsia="zh-CN"/>
              </w:rPr>
              <w:t>可以顺丰或</w:t>
            </w:r>
            <w:r>
              <w:rPr>
                <w:rFonts w:hint="eastAsia" w:ascii="宋体" w:hAnsi="宋体" w:eastAsia="宋体" w:cs="宋体"/>
                <w:color w:val="auto"/>
                <w:sz w:val="22"/>
                <w:szCs w:val="22"/>
                <w:highlight w:val="none"/>
              </w:rPr>
              <w:t>EMS邮寄形式）投标截止时间前递交、一份（邮寄地址：</w:t>
            </w:r>
            <w:r>
              <w:rPr>
                <w:rFonts w:hint="eastAsia" w:ascii="宋体" w:hAnsi="宋体" w:eastAsia="宋体" w:cs="宋体"/>
                <w:color w:val="auto"/>
                <w:sz w:val="22"/>
                <w:szCs w:val="22"/>
                <w:highlight w:val="none"/>
                <w:lang w:eastAsia="zh-CN"/>
              </w:rPr>
              <w:t>温州市温州大道展宏大厦2栋702室邵海勇</w:t>
            </w:r>
            <w:r>
              <w:rPr>
                <w:rFonts w:hint="eastAsia" w:ascii="宋体" w:hAnsi="宋体" w:eastAsia="宋体" w:cs="宋体"/>
                <w:color w:val="auto"/>
                <w:sz w:val="22"/>
                <w:szCs w:val="22"/>
                <w:highlight w:val="none"/>
              </w:rPr>
              <w:t>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21</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的上传、递交</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”的上传、递交：</w:t>
            </w:r>
          </w:p>
          <w:p>
            <w:pPr>
              <w:spacing w:line="3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a.投标供应商应在投标截止时间前将“电子加密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件”成功上传递交至“政府采购云平台”，否则投标无效。</w:t>
            </w:r>
          </w:p>
          <w:p>
            <w:pPr>
              <w:spacing w:line="3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b.“电子加密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”成功上传递交后，供应商可自行打印</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接收回执。</w:t>
            </w:r>
          </w:p>
          <w:p>
            <w:pPr>
              <w:spacing w:line="3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（2）“备份</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”的密封包装、递交：</w:t>
            </w:r>
          </w:p>
          <w:p>
            <w:pPr>
              <w:spacing w:line="3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a.投标供应商在“政府采购云平台”完成“电子加密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”的上传递交后，还可以（</w:t>
            </w:r>
            <w:r>
              <w:rPr>
                <w:rFonts w:hint="eastAsia" w:ascii="宋体" w:hAnsi="宋体" w:eastAsia="宋体" w:cs="宋体"/>
                <w:b/>
                <w:bCs/>
                <w:color w:val="auto"/>
                <w:sz w:val="22"/>
                <w:szCs w:val="22"/>
                <w:highlight w:val="none"/>
                <w:lang w:val="en-US" w:eastAsia="zh-CN"/>
              </w:rPr>
              <w:t>顺丰或</w:t>
            </w:r>
            <w:r>
              <w:rPr>
                <w:rFonts w:hint="eastAsia" w:ascii="宋体" w:hAnsi="宋体" w:eastAsia="宋体" w:cs="宋体"/>
                <w:b/>
                <w:bCs/>
                <w:color w:val="auto"/>
                <w:sz w:val="22"/>
                <w:szCs w:val="22"/>
                <w:highlight w:val="none"/>
              </w:rPr>
              <w:t>EMS邮寄形式）在投标截止时间前递交以介质（U盘）存储的 “备份</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”（一份）；</w:t>
            </w:r>
          </w:p>
          <w:p>
            <w:pPr>
              <w:spacing w:line="3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b.“备份</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”应当密封包装，并在包装上标注投标项目名称、投标单位名称并加盖公章。没有密封包装或者逾期邮寄送达至</w:t>
            </w:r>
            <w:r>
              <w:rPr>
                <w:rFonts w:hint="eastAsia" w:ascii="宋体" w:hAnsi="宋体" w:eastAsia="宋体" w:cs="宋体"/>
                <w:b/>
                <w:bCs/>
                <w:color w:val="auto"/>
                <w:sz w:val="22"/>
                <w:szCs w:val="22"/>
                <w:highlight w:val="none"/>
                <w:lang w:eastAsia="zh-CN"/>
              </w:rPr>
              <w:t>温州市温州大道展宏大厦2栋702室</w:t>
            </w:r>
            <w:r>
              <w:rPr>
                <w:rFonts w:hint="eastAsia" w:ascii="宋体" w:hAnsi="宋体" w:eastAsia="宋体" w:cs="宋体"/>
                <w:b/>
                <w:bCs/>
                <w:color w:val="auto"/>
                <w:sz w:val="22"/>
                <w:szCs w:val="22"/>
                <w:highlight w:val="none"/>
              </w:rPr>
              <w:t>的“备份投标文件”将不予接收；</w:t>
            </w:r>
          </w:p>
          <w:p>
            <w:pPr>
              <w:pStyle w:val="8"/>
              <w:ind w:firstLine="0" w:firstLineChars="0"/>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c.通过“政府采购云平台”成功上传递交的“电子加密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”已按时解密的，“备份</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”自动失效。投标截止时间前，投标供应商仅递交了“备份</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”而未将“电子加密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”成功上传至“政府采购云平台”的，投标无效。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22</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b/>
                <w:bCs/>
                <w:color w:val="auto"/>
                <w:sz w:val="22"/>
                <w:szCs w:val="22"/>
                <w:highlight w:val="none"/>
              </w:rPr>
              <w:t>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的解密和异常情况处理</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（1）开标后，采购组织机构将向各投标供应商发出“电子加密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”的解密通知，各投标供应商代表应当在接到解密通知后60分钟内自行完成“电子加密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”的在线解密。</w:t>
            </w:r>
          </w:p>
          <w:p>
            <w:pPr>
              <w:spacing w:line="3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（2）通过“政府采购云平台”成功上传递交的“电子加密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”无法按时解密，投标供应商如按规定递交了“备份</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”的，以“备份</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”为依据（由采购组织机构按“政府采购云平台”操作规范将“备份</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”上传至“政府采购云平台”，上传成功后，“电子加密投标文件”自动失效），否则视为投标文件撤回。</w:t>
            </w:r>
          </w:p>
          <w:p>
            <w:pPr>
              <w:pStyle w:val="8"/>
              <w:ind w:firstLine="0" w:firstLineChars="0"/>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（3）投标截止时间前，投标供应商仅递交了“备份</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”而未将电子加密</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上传至“政府采购云平台”的，投标无效。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bCs/>
                <w:color w:val="auto"/>
                <w:sz w:val="22"/>
                <w:szCs w:val="22"/>
                <w:highlight w:val="none"/>
              </w:rPr>
              <w:t>23</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投标截止时间</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详见采购公告规定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bCs/>
                <w:color w:val="auto"/>
                <w:sz w:val="22"/>
                <w:szCs w:val="22"/>
                <w:highlight w:val="none"/>
              </w:rPr>
              <w:t>24</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递交</w:t>
            </w:r>
            <w:r>
              <w:rPr>
                <w:rFonts w:hint="eastAsia" w:ascii="宋体" w:hAnsi="宋体" w:eastAsia="宋体" w:cs="宋体"/>
                <w:color w:val="auto"/>
                <w:kern w:val="0"/>
                <w:sz w:val="22"/>
                <w:szCs w:val="22"/>
                <w:highlight w:val="none"/>
                <w:lang w:eastAsia="zh-CN"/>
              </w:rPr>
              <w:t>投标文件</w:t>
            </w:r>
            <w:r>
              <w:rPr>
                <w:rFonts w:hint="eastAsia" w:ascii="宋体" w:hAnsi="宋体" w:eastAsia="宋体" w:cs="宋体"/>
                <w:color w:val="auto"/>
                <w:kern w:val="0"/>
                <w:sz w:val="22"/>
                <w:szCs w:val="22"/>
                <w:highlight w:val="none"/>
              </w:rPr>
              <w:t>地点</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通过“政府采购云平台（www.zcygov.cn）”实行在线投标响应。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25</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开标时间</w:t>
            </w:r>
          </w:p>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和地点</w:t>
            </w:r>
            <w:r>
              <w:rPr>
                <w:rFonts w:hint="eastAsia" w:ascii="宋体" w:hAnsi="宋体" w:eastAsia="宋体" w:cs="宋体"/>
                <w:color w:val="auto"/>
                <w:kern w:val="0"/>
                <w:sz w:val="22"/>
                <w:szCs w:val="22"/>
                <w:highlight w:val="none"/>
                <w:lang w:val="en-US" w:eastAsia="zh-CN"/>
              </w:rPr>
              <w:t>及评审地点</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开标时间：同</w:t>
            </w:r>
            <w:r>
              <w:rPr>
                <w:rFonts w:hint="eastAsia" w:ascii="宋体" w:hAnsi="宋体" w:eastAsia="宋体" w:cs="宋体"/>
                <w:color w:val="auto"/>
                <w:kern w:val="0"/>
                <w:sz w:val="22"/>
                <w:szCs w:val="22"/>
                <w:highlight w:val="none"/>
                <w:lang w:eastAsia="zh-CN"/>
              </w:rPr>
              <w:t>投标文件</w:t>
            </w:r>
            <w:r>
              <w:rPr>
                <w:rFonts w:hint="eastAsia" w:ascii="宋体" w:hAnsi="宋体" w:eastAsia="宋体" w:cs="宋体"/>
                <w:color w:val="auto"/>
                <w:kern w:val="0"/>
                <w:sz w:val="22"/>
                <w:szCs w:val="22"/>
                <w:highlight w:val="none"/>
              </w:rPr>
              <w:t>递交截止时间</w:t>
            </w:r>
          </w:p>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开标地点：</w:t>
            </w:r>
            <w:r>
              <w:rPr>
                <w:rFonts w:hint="eastAsia" w:ascii="宋体" w:hAnsi="宋体" w:eastAsia="宋体" w:cs="宋体"/>
                <w:color w:val="auto"/>
                <w:sz w:val="22"/>
                <w:szCs w:val="22"/>
                <w:highlight w:val="none"/>
              </w:rPr>
              <w:t>详见采购公告规定</w:t>
            </w:r>
          </w:p>
          <w:p>
            <w:pPr>
              <w:spacing w:line="30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评审地点：温州市轨道交通控制中心1</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lang w:val="en-US" w:eastAsia="zh-CN"/>
              </w:rPr>
              <w:t>楼</w:t>
            </w:r>
            <w:r>
              <w:rPr>
                <w:rFonts w:hint="eastAsia" w:ascii="宋体" w:hAnsi="宋体" w:cs="宋体"/>
                <w:color w:val="auto"/>
                <w:sz w:val="22"/>
                <w:szCs w:val="22"/>
                <w:highlight w:val="none"/>
                <w:lang w:val="en-US" w:eastAsia="zh-CN"/>
              </w:rPr>
              <w:t>评</w:t>
            </w:r>
            <w:r>
              <w:rPr>
                <w:rFonts w:hint="eastAsia" w:ascii="宋体" w:hAnsi="宋体" w:eastAsia="宋体" w:cs="宋体"/>
                <w:color w:val="auto"/>
                <w:sz w:val="22"/>
                <w:szCs w:val="22"/>
                <w:highlight w:val="none"/>
                <w:lang w:val="en-US" w:eastAsia="zh-CN"/>
              </w:rPr>
              <w:t>标室（温州市鹿城区温州大道2305号）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26</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bookmarkStart w:id="33" w:name="_Hlk3466512"/>
            <w:r>
              <w:rPr>
                <w:rFonts w:hint="eastAsia" w:ascii="宋体" w:hAnsi="宋体" w:eastAsia="宋体" w:cs="宋体"/>
                <w:color w:val="auto"/>
                <w:kern w:val="0"/>
                <w:sz w:val="22"/>
                <w:szCs w:val="22"/>
                <w:highlight w:val="none"/>
              </w:rPr>
              <w:t>开评标程序</w:t>
            </w:r>
            <w:bookmarkEnd w:id="33"/>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投标文件</w:t>
            </w:r>
            <w:r>
              <w:rPr>
                <w:rFonts w:hint="eastAsia" w:ascii="宋体" w:hAnsi="宋体" w:eastAsia="宋体" w:cs="宋体"/>
                <w:color w:val="auto"/>
                <w:kern w:val="0"/>
                <w:sz w:val="22"/>
                <w:szCs w:val="22"/>
                <w:highlight w:val="none"/>
              </w:rPr>
              <w:t>解密</w:t>
            </w:r>
            <w:r>
              <w:rPr>
                <w:rFonts w:hint="eastAsia" w:ascii="宋体" w:hAnsi="宋体" w:eastAsia="宋体" w:cs="宋体"/>
                <w:color w:val="auto"/>
                <w:sz w:val="22"/>
                <w:szCs w:val="22"/>
                <w:highlight w:val="none"/>
              </w:rPr>
              <w:sym w:font="Wingdings" w:char="F0E8"/>
            </w:r>
            <w:r>
              <w:rPr>
                <w:rFonts w:hint="eastAsia" w:ascii="宋体" w:hAnsi="宋体" w:eastAsia="宋体" w:cs="宋体"/>
                <w:color w:val="auto"/>
                <w:kern w:val="0"/>
                <w:sz w:val="22"/>
                <w:szCs w:val="22"/>
                <w:highlight w:val="none"/>
              </w:rPr>
              <w:t>开启资格文件和</w:t>
            </w:r>
            <w:r>
              <w:rPr>
                <w:rFonts w:hint="eastAsia" w:ascii="宋体" w:hAnsi="宋体" w:eastAsia="宋体" w:cs="宋体"/>
                <w:color w:val="auto"/>
                <w:sz w:val="22"/>
                <w:szCs w:val="22"/>
                <w:highlight w:val="none"/>
              </w:rPr>
              <w:t>商务技术文件</w:t>
            </w:r>
            <w:r>
              <w:rPr>
                <w:rFonts w:hint="eastAsia" w:ascii="宋体" w:hAnsi="宋体" w:eastAsia="宋体" w:cs="宋体"/>
                <w:color w:val="auto"/>
                <w:sz w:val="22"/>
                <w:szCs w:val="22"/>
                <w:highlight w:val="none"/>
              </w:rPr>
              <w:sym w:font="Wingdings" w:char="F0E8"/>
            </w:r>
            <w:r>
              <w:rPr>
                <w:rFonts w:hint="eastAsia" w:ascii="宋体" w:hAnsi="宋体" w:eastAsia="宋体" w:cs="宋体"/>
                <w:color w:val="auto"/>
                <w:sz w:val="22"/>
                <w:szCs w:val="22"/>
                <w:highlight w:val="none"/>
              </w:rPr>
              <w:t>资格</w:t>
            </w:r>
            <w:r>
              <w:rPr>
                <w:rFonts w:hint="eastAsia" w:ascii="宋体" w:hAnsi="宋体" w:eastAsia="宋体" w:cs="宋体"/>
                <w:color w:val="auto"/>
                <w:kern w:val="0"/>
                <w:sz w:val="22"/>
                <w:szCs w:val="22"/>
                <w:highlight w:val="none"/>
              </w:rPr>
              <w:t>文件</w:t>
            </w:r>
            <w:r>
              <w:rPr>
                <w:rFonts w:hint="eastAsia" w:ascii="宋体" w:hAnsi="宋体" w:eastAsia="宋体" w:cs="宋体"/>
                <w:color w:val="auto"/>
                <w:sz w:val="22"/>
                <w:szCs w:val="22"/>
                <w:highlight w:val="none"/>
              </w:rPr>
              <w:t>审查</w:t>
            </w:r>
            <w:r>
              <w:rPr>
                <w:rFonts w:hint="eastAsia" w:ascii="宋体" w:hAnsi="宋体" w:eastAsia="宋体" w:cs="宋体"/>
                <w:color w:val="auto"/>
                <w:sz w:val="22"/>
                <w:szCs w:val="22"/>
                <w:highlight w:val="none"/>
              </w:rPr>
              <w:sym w:font="Wingdings" w:char="F0E8"/>
            </w:r>
            <w:r>
              <w:rPr>
                <w:rFonts w:hint="eastAsia" w:ascii="宋体" w:hAnsi="宋体" w:eastAsia="宋体" w:cs="宋体"/>
                <w:color w:val="auto"/>
                <w:sz w:val="22"/>
                <w:szCs w:val="22"/>
                <w:highlight w:val="none"/>
              </w:rPr>
              <w:t>符合性审查（商务技术部分）</w:t>
            </w:r>
            <w:r>
              <w:rPr>
                <w:rFonts w:hint="eastAsia" w:ascii="宋体" w:hAnsi="宋体" w:eastAsia="宋体" w:cs="宋体"/>
                <w:color w:val="auto"/>
                <w:sz w:val="22"/>
                <w:szCs w:val="22"/>
                <w:highlight w:val="none"/>
              </w:rPr>
              <w:sym w:font="Wingdings" w:char="F0E8"/>
            </w:r>
            <w:r>
              <w:rPr>
                <w:rFonts w:hint="eastAsia" w:ascii="宋体" w:hAnsi="宋体" w:eastAsia="宋体" w:cs="宋体"/>
                <w:color w:val="auto"/>
                <w:sz w:val="22"/>
                <w:szCs w:val="22"/>
                <w:highlight w:val="none"/>
              </w:rPr>
              <w:t>商务技术文件评审</w:t>
            </w:r>
            <w:r>
              <w:rPr>
                <w:rFonts w:hint="eastAsia" w:ascii="宋体" w:hAnsi="宋体" w:eastAsia="宋体" w:cs="宋体"/>
                <w:color w:val="auto"/>
                <w:sz w:val="22"/>
                <w:szCs w:val="22"/>
                <w:highlight w:val="none"/>
              </w:rPr>
              <w:sym w:font="Wingdings" w:char="F0E8"/>
            </w:r>
            <w:r>
              <w:rPr>
                <w:rFonts w:hint="eastAsia" w:ascii="宋体" w:hAnsi="宋体" w:eastAsia="宋体" w:cs="宋体"/>
                <w:color w:val="auto"/>
                <w:sz w:val="22"/>
                <w:szCs w:val="22"/>
                <w:highlight w:val="none"/>
              </w:rPr>
              <w:t>公布商务技术文件得分情况</w:t>
            </w:r>
            <w:r>
              <w:rPr>
                <w:rFonts w:hint="eastAsia" w:ascii="宋体" w:hAnsi="宋体" w:eastAsia="宋体" w:cs="宋体"/>
                <w:color w:val="auto"/>
                <w:sz w:val="22"/>
                <w:szCs w:val="22"/>
                <w:highlight w:val="none"/>
              </w:rPr>
              <w:sym w:font="Wingdings" w:char="F0E8"/>
            </w:r>
            <w:r>
              <w:rPr>
                <w:rFonts w:hint="eastAsia" w:ascii="宋体" w:hAnsi="宋体" w:eastAsia="宋体" w:cs="宋体"/>
                <w:color w:val="auto"/>
                <w:sz w:val="22"/>
                <w:szCs w:val="22"/>
                <w:highlight w:val="none"/>
              </w:rPr>
              <w:t>开启报价文件</w:t>
            </w:r>
            <w:r>
              <w:rPr>
                <w:rFonts w:hint="eastAsia" w:ascii="宋体" w:hAnsi="宋体" w:eastAsia="宋体" w:cs="宋体"/>
                <w:color w:val="auto"/>
                <w:sz w:val="22"/>
                <w:szCs w:val="22"/>
                <w:highlight w:val="none"/>
              </w:rPr>
              <w:sym w:font="Wingdings" w:char="F0E8"/>
            </w:r>
            <w:r>
              <w:rPr>
                <w:rFonts w:hint="eastAsia" w:ascii="宋体" w:hAnsi="宋体" w:eastAsia="宋体" w:cs="宋体"/>
                <w:color w:val="auto"/>
                <w:sz w:val="22"/>
                <w:szCs w:val="22"/>
                <w:highlight w:val="none"/>
              </w:rPr>
              <w:t>报价文件评审（含报价文件符合性审查）</w:t>
            </w:r>
            <w:r>
              <w:rPr>
                <w:rFonts w:hint="eastAsia" w:ascii="宋体" w:hAnsi="宋体" w:eastAsia="宋体" w:cs="宋体"/>
                <w:color w:val="auto"/>
                <w:sz w:val="22"/>
                <w:szCs w:val="22"/>
                <w:highlight w:val="none"/>
              </w:rPr>
              <w:sym w:font="Wingdings" w:char="F0E8"/>
            </w:r>
            <w:r>
              <w:rPr>
                <w:rFonts w:hint="eastAsia" w:ascii="宋体" w:hAnsi="宋体" w:eastAsia="宋体" w:cs="宋体"/>
                <w:color w:val="auto"/>
                <w:sz w:val="22"/>
                <w:szCs w:val="22"/>
                <w:highlight w:val="none"/>
              </w:rPr>
              <w:t>提交评审报告；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bCs/>
                <w:color w:val="auto"/>
                <w:sz w:val="22"/>
                <w:szCs w:val="22"/>
                <w:highlight w:val="none"/>
              </w:rPr>
              <w:t>27</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评标委员会</w:t>
            </w:r>
          </w:p>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的组建</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评标委员会成员由采购人依法组建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auto"/>
                <w:sz w:val="22"/>
                <w:szCs w:val="22"/>
                <w:highlight w:val="none"/>
              </w:rPr>
            </w:pPr>
            <w:r>
              <w:rPr>
                <w:rFonts w:hint="eastAsia" w:ascii="宋体" w:hAnsi="宋体" w:eastAsia="宋体" w:cs="宋体"/>
                <w:color w:val="auto"/>
                <w:kern w:val="0"/>
                <w:sz w:val="22"/>
                <w:szCs w:val="22"/>
                <w:highlight w:val="none"/>
              </w:rPr>
              <w:t>28</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原 件</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b/>
                <w:snapToGrid w:val="0"/>
                <w:color w:val="auto"/>
                <w:sz w:val="22"/>
                <w:szCs w:val="22"/>
                <w:highlight w:val="none"/>
              </w:rPr>
              <w:sym w:font="Wingdings" w:char="F0FE"/>
            </w:r>
            <w:r>
              <w:rPr>
                <w:rFonts w:hint="eastAsia" w:ascii="宋体" w:hAnsi="宋体" w:eastAsia="宋体" w:cs="宋体"/>
                <w:color w:val="auto"/>
                <w:kern w:val="0"/>
                <w:sz w:val="22"/>
                <w:szCs w:val="22"/>
                <w:highlight w:val="none"/>
              </w:rPr>
              <w:t xml:space="preserve">不提交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auto"/>
                <w:sz w:val="22"/>
                <w:szCs w:val="22"/>
                <w:highlight w:val="none"/>
              </w:rPr>
            </w:pPr>
            <w:r>
              <w:rPr>
                <w:rFonts w:hint="eastAsia" w:ascii="宋体" w:hAnsi="宋体" w:eastAsia="宋体" w:cs="宋体"/>
                <w:color w:val="auto"/>
                <w:kern w:val="0"/>
                <w:sz w:val="22"/>
                <w:szCs w:val="22"/>
                <w:highlight w:val="none"/>
              </w:rPr>
              <w:t>29</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履约担保</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auto"/>
                <w:sz w:val="22"/>
                <w:szCs w:val="22"/>
                <w:highlight w:val="none"/>
              </w:rPr>
            </w:pPr>
            <w:r>
              <w:rPr>
                <w:rFonts w:hint="eastAsia" w:ascii="宋体" w:hAnsi="宋体" w:eastAsia="宋体" w:cs="宋体"/>
                <w:b/>
                <w:snapToGrid w:val="0"/>
                <w:color w:val="auto"/>
                <w:sz w:val="22"/>
                <w:szCs w:val="22"/>
                <w:highlight w:val="none"/>
              </w:rPr>
              <w:sym w:font="Wingdings" w:char="F0FE"/>
            </w:r>
            <w:r>
              <w:rPr>
                <w:rFonts w:hint="eastAsia" w:ascii="宋体" w:hAnsi="宋体" w:eastAsia="宋体" w:cs="宋体"/>
                <w:color w:val="auto"/>
                <w:kern w:val="0"/>
                <w:sz w:val="22"/>
                <w:szCs w:val="22"/>
                <w:highlight w:val="none"/>
              </w:rPr>
              <w:t>不提交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30</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注意事项</w:t>
            </w:r>
          </w:p>
        </w:tc>
        <w:tc>
          <w:tcPr>
            <w:tcW w:w="731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kern w:val="0"/>
                <w:sz w:val="22"/>
                <w:szCs w:val="22"/>
                <w:highlight w:val="none"/>
              </w:rPr>
              <w:t>本采购文件中如有前后不一致的，一律以本《投标供应商须知前附表》规定为准；</w:t>
            </w:r>
          </w:p>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（2）</w:t>
            </w:r>
            <w:r>
              <w:rPr>
                <w:rFonts w:hint="eastAsia" w:ascii="宋体" w:hAnsi="宋体" w:eastAsia="宋体" w:cs="宋体"/>
                <w:color w:val="auto"/>
                <w:kern w:val="0"/>
                <w:sz w:val="22"/>
                <w:szCs w:val="22"/>
                <w:highlight w:val="none"/>
              </w:rPr>
              <w:t>本采购文件涉及的时间为“北京时间”；</w:t>
            </w:r>
          </w:p>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kern w:val="0"/>
                <w:sz w:val="22"/>
                <w:szCs w:val="22"/>
                <w:highlight w:val="none"/>
              </w:rPr>
              <w:t>本采购文件涉及的货币为“人民币”；</w:t>
            </w:r>
          </w:p>
          <w:p>
            <w:pPr>
              <w:spacing w:line="300" w:lineRule="exac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kern w:val="0"/>
                <w:sz w:val="22"/>
                <w:szCs w:val="22"/>
                <w:highlight w:val="none"/>
              </w:rPr>
              <w:t>采购文件资料费用：根据省物价局有关文件规定，采购代理机构将收取本项目采购文件的编制费,金额详见</w:t>
            </w:r>
            <w:r>
              <w:rPr>
                <w:rFonts w:hint="eastAsia" w:ascii="宋体" w:hAnsi="宋体" w:eastAsia="宋体" w:cs="宋体"/>
                <w:color w:val="auto"/>
                <w:sz w:val="22"/>
                <w:szCs w:val="22"/>
                <w:highlight w:val="none"/>
              </w:rPr>
              <w:t>采购公告规定</w:t>
            </w:r>
            <w:r>
              <w:rPr>
                <w:rFonts w:hint="eastAsia" w:ascii="宋体" w:hAnsi="宋体" w:eastAsia="宋体" w:cs="宋体"/>
                <w:color w:val="auto"/>
                <w:kern w:val="0"/>
                <w:sz w:val="22"/>
                <w:szCs w:val="22"/>
                <w:highlight w:val="none"/>
              </w:rPr>
              <w:t>。</w:t>
            </w:r>
          </w:p>
          <w:p>
            <w:pPr>
              <w:pStyle w:val="8"/>
              <w:ind w:firstLine="21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(5)本项目成交供应商在领取中标通知书时，须提供一正四副的投标文件给招标代理机构</w:t>
            </w:r>
            <w:r>
              <w:rPr>
                <w:rFonts w:hint="eastAsia" w:ascii="宋体" w:hAnsi="宋体" w:eastAsia="宋体" w:cs="宋体"/>
                <w:color w:val="auto"/>
                <w:sz w:val="22"/>
                <w:szCs w:val="22"/>
                <w:highlight w:val="none"/>
                <w:lang w:val="en-US" w:eastAsia="zh-CN"/>
              </w:rPr>
              <w:t>以及U盘（两个）形式提供投标文件正本（盖章版）扫描件</w:t>
            </w:r>
            <w:r>
              <w:rPr>
                <w:rFonts w:hint="eastAsia" w:ascii="宋体" w:hAnsi="宋体" w:eastAsia="宋体" w:cs="宋体"/>
                <w:color w:val="auto"/>
                <w:sz w:val="22"/>
                <w:szCs w:val="22"/>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31</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解释顺序</w:t>
            </w:r>
          </w:p>
        </w:tc>
        <w:tc>
          <w:tcPr>
            <w:tcW w:w="7310"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（1）如投标供应商须知与投标供应商须知前附表内容不一致的，以投标供应商须知前附表为准。</w:t>
            </w:r>
          </w:p>
          <w:p>
            <w:pPr>
              <w:snapToGrid w:val="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（2）发布采购公告的媒介网站供下载的采购文件与纸质采购文件不一致的，以上传至网站的采购文件为准。</w:t>
            </w:r>
          </w:p>
          <w:p>
            <w:pPr>
              <w:snapToGrid w:val="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（3）构成本采购文件的各个组成文件应互为解释，互为说明；如有不明确或不一致，构成合同文件组成内容的，以</w:t>
            </w:r>
            <w:r>
              <w:rPr>
                <w:rFonts w:hint="eastAsia" w:ascii="宋体" w:hAnsi="宋体" w:eastAsia="宋体" w:cs="宋体"/>
                <w:color w:val="auto"/>
                <w:sz w:val="22"/>
                <w:szCs w:val="22"/>
                <w:highlight w:val="none"/>
                <w:lang w:eastAsia="zh-CN"/>
              </w:rPr>
              <w:t>承销服务合作协议</w:t>
            </w:r>
            <w:r>
              <w:rPr>
                <w:rFonts w:hint="eastAsia" w:ascii="宋体" w:hAnsi="宋体" w:eastAsia="宋体" w:cs="宋体"/>
                <w:color w:val="auto"/>
                <w:sz w:val="22"/>
                <w:szCs w:val="22"/>
                <w:highlight w:val="none"/>
              </w:rPr>
              <w:t>约定内容为准，且以</w:t>
            </w:r>
            <w:r>
              <w:rPr>
                <w:rFonts w:hint="eastAsia" w:ascii="宋体" w:hAnsi="宋体" w:eastAsia="宋体" w:cs="宋体"/>
                <w:color w:val="auto"/>
                <w:sz w:val="22"/>
                <w:szCs w:val="22"/>
                <w:highlight w:val="none"/>
                <w:lang w:eastAsia="zh-CN"/>
              </w:rPr>
              <w:t>承销服务合作协议</w:t>
            </w:r>
            <w:r>
              <w:rPr>
                <w:rFonts w:hint="eastAsia" w:ascii="宋体" w:hAnsi="宋体" w:eastAsia="宋体" w:cs="宋体"/>
                <w:color w:val="auto"/>
                <w:sz w:val="22"/>
                <w:szCs w:val="22"/>
                <w:highlight w:val="none"/>
              </w:rPr>
              <w:t>约定的合同文件优先顺序解释；在采购投标阶段，按采购公告、投标供应商须知、评标办法、</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pPr>
        <w:pStyle w:val="2"/>
        <w:overflowPunct w:val="0"/>
        <w:rPr>
          <w:rFonts w:hint="eastAsia" w:ascii="宋体" w:hAnsi="宋体" w:eastAsia="宋体" w:cs="宋体"/>
          <w:color w:val="auto"/>
          <w:sz w:val="36"/>
          <w:szCs w:val="36"/>
          <w:highlight w:val="none"/>
        </w:rPr>
      </w:pPr>
      <w:bookmarkStart w:id="34" w:name="_Toc246261261"/>
      <w:bookmarkStart w:id="35" w:name="_Toc223715994"/>
      <w:bookmarkStart w:id="36" w:name="_Toc222114875"/>
      <w:bookmarkStart w:id="37" w:name="_Toc252194848"/>
      <w:bookmarkStart w:id="38" w:name="_Toc221356882"/>
      <w:bookmarkStart w:id="39" w:name="_Toc221356947"/>
      <w:bookmarkStart w:id="40" w:name="_Toc241404198"/>
      <w:bookmarkStart w:id="41" w:name="_Toc221374622"/>
      <w:bookmarkStart w:id="42" w:name="_Toc245722277"/>
      <w:bookmarkStart w:id="43" w:name="_Toc239145350"/>
      <w:bookmarkStart w:id="44" w:name="_Toc245191310"/>
      <w:bookmarkStart w:id="45" w:name="_Toc251325210"/>
      <w:bookmarkStart w:id="46" w:name="_Toc251592733"/>
      <w:bookmarkStart w:id="47" w:name="_Toc221423615"/>
      <w:r>
        <w:rPr>
          <w:rFonts w:hint="eastAsia" w:ascii="宋体" w:hAnsi="宋体" w:eastAsia="宋体" w:cs="宋体"/>
          <w:color w:val="auto"/>
          <w:sz w:val="36"/>
          <w:szCs w:val="36"/>
          <w:highlight w:val="none"/>
        </w:rPr>
        <w:br w:type="page"/>
      </w:r>
      <w:bookmarkStart w:id="48" w:name="_Toc1566"/>
      <w:bookmarkStart w:id="49" w:name="_Toc75948397"/>
      <w:bookmarkStart w:id="50" w:name="_Toc8514"/>
      <w:r>
        <w:rPr>
          <w:rFonts w:hint="eastAsia" w:ascii="宋体" w:hAnsi="宋体" w:eastAsia="宋体" w:cs="宋体"/>
          <w:b w:val="0"/>
          <w:bCs w:val="0"/>
          <w:color w:val="auto"/>
          <w:sz w:val="36"/>
          <w:szCs w:val="36"/>
          <w:highlight w:val="none"/>
        </w:rPr>
        <w:t>第一部分    投标供应商须知</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overflowPunct w:val="0"/>
        <w:spacing w:before="100" w:beforeAutospacing="1" w:after="100" w:afterAutospacing="1" w:line="440" w:lineRule="exact"/>
        <w:jc w:val="center"/>
        <w:outlineLvl w:val="0"/>
        <w:rPr>
          <w:rFonts w:hint="eastAsia" w:ascii="宋体" w:hAnsi="宋体" w:eastAsia="宋体" w:cs="宋体"/>
          <w:b/>
          <w:bCs/>
          <w:color w:val="auto"/>
          <w:sz w:val="26"/>
          <w:szCs w:val="26"/>
          <w:highlight w:val="none"/>
        </w:rPr>
      </w:pPr>
      <w:bookmarkStart w:id="51" w:name="_Toc239145351"/>
      <w:bookmarkStart w:id="52" w:name="_Toc251592734"/>
      <w:bookmarkStart w:id="53" w:name="_Toc246261262"/>
      <w:bookmarkStart w:id="54" w:name="_Toc221356948"/>
      <w:bookmarkStart w:id="55" w:name="_Toc221374623"/>
      <w:bookmarkStart w:id="56" w:name="_Toc245191311"/>
      <w:bookmarkStart w:id="57" w:name="_Toc75948398"/>
      <w:bookmarkStart w:id="58" w:name="_Toc252194849"/>
      <w:bookmarkStart w:id="59" w:name="_Toc221423616"/>
      <w:bookmarkStart w:id="60" w:name="_Toc241404199"/>
      <w:bookmarkStart w:id="61" w:name="_Toc1707"/>
      <w:bookmarkStart w:id="62" w:name="_Toc223715995"/>
      <w:bookmarkStart w:id="63" w:name="_Toc222114876"/>
      <w:bookmarkStart w:id="64" w:name="_Toc221356883"/>
      <w:bookmarkStart w:id="65" w:name="_Toc245722278"/>
      <w:bookmarkStart w:id="66" w:name="_Toc251325211"/>
      <w:bookmarkStart w:id="67" w:name="_Toc31127"/>
      <w:r>
        <w:rPr>
          <w:rFonts w:hint="eastAsia" w:ascii="宋体" w:hAnsi="宋体" w:eastAsia="宋体" w:cs="宋体"/>
          <w:b/>
          <w:bCs/>
          <w:color w:val="auto"/>
          <w:sz w:val="26"/>
          <w:szCs w:val="26"/>
          <w:highlight w:val="none"/>
        </w:rPr>
        <w:t>一、  说明</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numPr>
          <w:ilvl w:val="0"/>
          <w:numId w:val="1"/>
        </w:numPr>
        <w:tabs>
          <w:tab w:val="left" w:pos="540"/>
          <w:tab w:val="left" w:pos="900"/>
          <w:tab w:val="clear" w:pos="420"/>
        </w:tabs>
        <w:overflowPunct w:val="0"/>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本次采购是按照《</w:t>
      </w:r>
      <w:r>
        <w:rPr>
          <w:rFonts w:hint="eastAsia" w:ascii="宋体" w:hAnsi="宋体" w:eastAsia="宋体" w:cs="宋体"/>
          <w:color w:val="auto"/>
          <w:kern w:val="0"/>
          <w:sz w:val="22"/>
          <w:szCs w:val="22"/>
          <w:highlight w:val="none"/>
        </w:rPr>
        <w:t>温州市市属国有企业采购管理办法（试行）</w:t>
      </w:r>
      <w:r>
        <w:rPr>
          <w:rFonts w:hint="eastAsia" w:ascii="宋体" w:hAnsi="宋体" w:eastAsia="宋体" w:cs="宋体"/>
          <w:color w:val="auto"/>
          <w:sz w:val="22"/>
          <w:szCs w:val="22"/>
          <w:highlight w:val="none"/>
        </w:rPr>
        <w:t>》等法律及有关法规组织和实施的。</w:t>
      </w:r>
    </w:p>
    <w:p>
      <w:pPr>
        <w:numPr>
          <w:ilvl w:val="0"/>
          <w:numId w:val="1"/>
        </w:numPr>
        <w:tabs>
          <w:tab w:val="left" w:pos="540"/>
          <w:tab w:val="left" w:pos="900"/>
          <w:tab w:val="clear" w:pos="420"/>
        </w:tabs>
        <w:overflowPunct w:val="0"/>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合格投标供应商要求，以本项目采购公告及《投标供应商须知前附表》表述为准。</w:t>
      </w:r>
    </w:p>
    <w:p>
      <w:pPr>
        <w:numPr>
          <w:ilvl w:val="0"/>
          <w:numId w:val="1"/>
        </w:numPr>
        <w:tabs>
          <w:tab w:val="left" w:pos="540"/>
          <w:tab w:val="left" w:pos="900"/>
          <w:tab w:val="clear" w:pos="420"/>
        </w:tabs>
        <w:overflowPunct w:val="0"/>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投标供应商代表</w:t>
      </w:r>
    </w:p>
    <w:p>
      <w:pPr>
        <w:overflowPunct w:val="0"/>
        <w:spacing w:line="460" w:lineRule="exact"/>
        <w:ind w:left="548" w:leftChars="26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指全权代表投标供应商参加投标活动并签署</w:t>
      </w:r>
      <w:r>
        <w:rPr>
          <w:rFonts w:hint="eastAsia" w:ascii="宋体" w:hAnsi="宋体" w:eastAsia="宋体" w:cs="宋体"/>
          <w:color w:val="auto"/>
          <w:highlight w:val="none"/>
        </w:rPr>
        <w:t>（签字或盖章）</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的人，如果投标供应商代表不是法定代表人（或单位负责人），须持有《法定代表人（或单位负责人）授权书》。</w:t>
      </w:r>
    </w:p>
    <w:p>
      <w:pPr>
        <w:numPr>
          <w:ilvl w:val="0"/>
          <w:numId w:val="1"/>
        </w:numPr>
        <w:tabs>
          <w:tab w:val="left" w:pos="540"/>
          <w:tab w:val="left" w:pos="900"/>
          <w:tab w:val="clear" w:pos="420"/>
        </w:tabs>
        <w:overflowPunct w:val="0"/>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投标费用</w:t>
      </w:r>
    </w:p>
    <w:p>
      <w:pPr>
        <w:overflowPunct w:val="0"/>
        <w:spacing w:line="460" w:lineRule="exact"/>
        <w:ind w:left="548" w:leftChars="26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投标供应商应承担所有与准备和参加投标有关费用，不论投标的结果如何，采购人和采购代理机构均无义务和责任承担这些费用。</w:t>
      </w:r>
    </w:p>
    <w:p>
      <w:pPr>
        <w:overflowPunct w:val="0"/>
        <w:spacing w:before="100" w:beforeAutospacing="1" w:after="100" w:afterAutospacing="1" w:line="440" w:lineRule="exact"/>
        <w:jc w:val="center"/>
        <w:outlineLvl w:val="0"/>
        <w:rPr>
          <w:rFonts w:hint="eastAsia" w:ascii="宋体" w:hAnsi="宋体" w:eastAsia="宋体" w:cs="宋体"/>
          <w:b/>
          <w:bCs/>
          <w:color w:val="auto"/>
          <w:sz w:val="26"/>
          <w:szCs w:val="26"/>
          <w:highlight w:val="none"/>
        </w:rPr>
      </w:pPr>
      <w:bookmarkStart w:id="68" w:name="_Toc223715996"/>
      <w:bookmarkStart w:id="69" w:name="_Toc246261263"/>
      <w:bookmarkStart w:id="70" w:name="_Toc19062"/>
      <w:bookmarkStart w:id="71" w:name="_Toc75948399"/>
      <w:bookmarkStart w:id="72" w:name="_Toc245191312"/>
      <w:bookmarkStart w:id="73" w:name="_Toc239145352"/>
      <w:bookmarkStart w:id="74" w:name="_Toc222114877"/>
      <w:bookmarkStart w:id="75" w:name="_Toc251592735"/>
      <w:bookmarkStart w:id="76" w:name="_Toc245722279"/>
      <w:bookmarkStart w:id="77" w:name="_Toc221423617"/>
      <w:bookmarkStart w:id="78" w:name="_Toc241404200"/>
      <w:bookmarkStart w:id="79" w:name="_Toc252194850"/>
      <w:bookmarkStart w:id="80" w:name="_Toc221356884"/>
      <w:bookmarkStart w:id="81" w:name="_Toc251325212"/>
      <w:bookmarkStart w:id="82" w:name="_Toc221374624"/>
      <w:bookmarkStart w:id="83" w:name="_Toc17257"/>
      <w:bookmarkStart w:id="84" w:name="_Toc221356949"/>
      <w:r>
        <w:rPr>
          <w:rFonts w:hint="eastAsia" w:ascii="宋体" w:hAnsi="宋体" w:eastAsia="宋体" w:cs="宋体"/>
          <w:b/>
          <w:bCs/>
          <w:color w:val="auto"/>
          <w:sz w:val="26"/>
          <w:szCs w:val="26"/>
          <w:highlight w:val="none"/>
        </w:rPr>
        <w:t>二、 采购文件</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numPr>
          <w:ilvl w:val="0"/>
          <w:numId w:val="2"/>
        </w:numPr>
        <w:tabs>
          <w:tab w:val="left" w:pos="420"/>
          <w:tab w:val="left" w:pos="540"/>
        </w:tabs>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采购文件由采购文件目录所列内容及相关资料组成。</w:t>
      </w:r>
    </w:p>
    <w:p>
      <w:pPr>
        <w:numPr>
          <w:ilvl w:val="0"/>
          <w:numId w:val="2"/>
        </w:numPr>
        <w:tabs>
          <w:tab w:val="left" w:pos="420"/>
          <w:tab w:val="left" w:pos="540"/>
        </w:tabs>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采购文件的澄清和质疑</w:t>
      </w:r>
    </w:p>
    <w:p>
      <w:pPr>
        <w:overflowPunct w:val="0"/>
        <w:spacing w:line="460" w:lineRule="exact"/>
        <w:ind w:left="439" w:leftChars="20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对采购文件如有疑点或未尽事宜要求澄清，或认为有必要进行说明或交流，投标供应商可以在知道或应知其权益受到损害之日起7个工作日内，以书面形式（包括信函、传真、下同）向采购人提出质疑，但质疑不得迟于采购文件规定的询疑截止时间前使采购人收到，采购人将用书面形式予以答复。如有必要，可将不说明问题来源的答复发给各有关投标供应商或召开答疑会。如果标书答疑期内未收到有关疑问，视为投标供应商完全同意采购文件所有条款，如对于采购文件相关表述以及未尽事宜如有争议，以采购人解释为准。</w:t>
      </w:r>
    </w:p>
    <w:p>
      <w:pPr>
        <w:numPr>
          <w:ilvl w:val="0"/>
          <w:numId w:val="2"/>
        </w:numPr>
        <w:tabs>
          <w:tab w:val="left" w:pos="420"/>
          <w:tab w:val="left" w:pos="540"/>
        </w:tabs>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采购文件的修改</w:t>
      </w:r>
    </w:p>
    <w:p>
      <w:pPr>
        <w:numPr>
          <w:ilvl w:val="1"/>
          <w:numId w:val="3"/>
        </w:numPr>
        <w:tabs>
          <w:tab w:val="left" w:pos="426"/>
          <w:tab w:val="left" w:pos="992"/>
        </w:tabs>
        <w:overflowPunct w:val="0"/>
        <w:spacing w:line="460" w:lineRule="exact"/>
        <w:ind w:left="425" w:hanging="424" w:hangingChars="19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采购人或者采购代理机构对已发出的采购文件进行必要的澄清或者修改，且澄清或者修改  的内  容可能影响</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编制的，应当在</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递交截止时间15日前，在指定媒介上发布更正公告，并以书面形式通知所有获取采购文件的潜在投标供应商，不足15日的，采购人或者采购代理机构应当顺延提交</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的截止时间。该澄清或修改内容为采购文件的组成部分。</w:t>
      </w:r>
    </w:p>
    <w:p>
      <w:pPr>
        <w:numPr>
          <w:ilvl w:val="1"/>
          <w:numId w:val="3"/>
        </w:numPr>
        <w:tabs>
          <w:tab w:val="left" w:pos="426"/>
          <w:tab w:val="left" w:pos="992"/>
        </w:tabs>
        <w:overflowPunct w:val="0"/>
        <w:spacing w:line="460" w:lineRule="exact"/>
        <w:ind w:left="425" w:hanging="424" w:hangingChars="193"/>
        <w:rPr>
          <w:rFonts w:hint="eastAsia" w:ascii="宋体" w:hAnsi="宋体" w:eastAsia="宋体" w:cs="宋体"/>
          <w:color w:val="auto"/>
          <w:sz w:val="22"/>
          <w:szCs w:val="22"/>
          <w:highlight w:val="none"/>
        </w:rPr>
      </w:pPr>
      <w:bookmarkStart w:id="85" w:name="_Toc221374625"/>
      <w:bookmarkStart w:id="86" w:name="_Toc221423618"/>
      <w:bookmarkStart w:id="87" w:name="_Toc223715997"/>
      <w:bookmarkStart w:id="88" w:name="_Toc245191313"/>
      <w:bookmarkStart w:id="89" w:name="_Toc222114878"/>
      <w:bookmarkStart w:id="90" w:name="_Toc239145353"/>
      <w:bookmarkStart w:id="91" w:name="_Toc221356885"/>
      <w:bookmarkStart w:id="92" w:name="_Toc251325213"/>
      <w:bookmarkStart w:id="93" w:name="_Toc12980"/>
      <w:bookmarkStart w:id="94" w:name="_Toc221356950"/>
      <w:bookmarkStart w:id="95" w:name="_Toc246261264"/>
      <w:bookmarkStart w:id="96" w:name="_Toc252194851"/>
      <w:bookmarkStart w:id="97" w:name="_Toc245722280"/>
      <w:bookmarkStart w:id="98" w:name="_Toc28399"/>
      <w:bookmarkStart w:id="99" w:name="_Toc241404201"/>
      <w:bookmarkStart w:id="100" w:name="_Toc251592736"/>
      <w:r>
        <w:rPr>
          <w:rFonts w:hint="eastAsia" w:ascii="宋体" w:hAnsi="宋体" w:eastAsia="宋体" w:cs="宋体"/>
          <w:color w:val="auto"/>
          <w:sz w:val="22"/>
          <w:szCs w:val="22"/>
          <w:highlight w:val="none"/>
        </w:rPr>
        <w:t xml:space="preserve"> 本项目投标供应商均可在本项目申请获取采购文件，并按采购文件规定的时间、地点递交投标  文件（采购文件申请获取网址：http://www.zjzfcg.gov.cn/；采购文件如有补充更正均见http://www.zjzfcg.gov.cn/）。投标供应商须在开标截止时间前自行查看是否有补充更正文件，并按补充更正文件要求投标，否则责任自负。</w:t>
      </w:r>
    </w:p>
    <w:p>
      <w:pPr>
        <w:overflowPunct w:val="0"/>
        <w:spacing w:before="100" w:beforeAutospacing="1" w:after="100" w:afterAutospacing="1" w:line="440" w:lineRule="exact"/>
        <w:jc w:val="center"/>
        <w:outlineLvl w:val="0"/>
        <w:rPr>
          <w:rFonts w:hint="eastAsia" w:ascii="宋体" w:hAnsi="宋体" w:eastAsia="宋体" w:cs="宋体"/>
          <w:b/>
          <w:bCs/>
          <w:color w:val="auto"/>
          <w:sz w:val="26"/>
          <w:szCs w:val="26"/>
          <w:highlight w:val="none"/>
        </w:rPr>
      </w:pPr>
      <w:bookmarkStart w:id="101" w:name="_Toc75948400"/>
      <w:r>
        <w:rPr>
          <w:rFonts w:hint="eastAsia" w:ascii="宋体" w:hAnsi="宋体" w:eastAsia="宋体" w:cs="宋体"/>
          <w:b/>
          <w:bCs/>
          <w:color w:val="auto"/>
          <w:sz w:val="26"/>
          <w:szCs w:val="26"/>
          <w:highlight w:val="none"/>
        </w:rPr>
        <w:t xml:space="preserve">三、 </w:t>
      </w:r>
      <w:r>
        <w:rPr>
          <w:rFonts w:hint="eastAsia" w:ascii="宋体" w:hAnsi="宋体" w:eastAsia="宋体" w:cs="宋体"/>
          <w:b/>
          <w:bCs/>
          <w:color w:val="auto"/>
          <w:sz w:val="26"/>
          <w:szCs w:val="26"/>
          <w:highlight w:val="none"/>
          <w:lang w:eastAsia="zh-CN"/>
        </w:rPr>
        <w:t>投标文件</w:t>
      </w:r>
      <w:r>
        <w:rPr>
          <w:rFonts w:hint="eastAsia" w:ascii="宋体" w:hAnsi="宋体" w:eastAsia="宋体" w:cs="宋体"/>
          <w:b/>
          <w:bCs/>
          <w:color w:val="auto"/>
          <w:sz w:val="26"/>
          <w:szCs w:val="26"/>
          <w:highlight w:val="none"/>
        </w:rPr>
        <w:t>的编制</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numPr>
          <w:ilvl w:val="0"/>
          <w:numId w:val="2"/>
        </w:numPr>
        <w:tabs>
          <w:tab w:val="left" w:pos="420"/>
          <w:tab w:val="left" w:pos="540"/>
        </w:tabs>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应认真阅读采购文件中所有事项格式、条款和技术规范等。投标供应商没有按照采购文件要求提交全部资料，或者没有对采购文件各个方面做出实质性响应，导致投标被拒绝的风险由投标供应商自行承担。</w:t>
      </w:r>
    </w:p>
    <w:p>
      <w:pPr>
        <w:numPr>
          <w:ilvl w:val="0"/>
          <w:numId w:val="2"/>
        </w:numPr>
        <w:tabs>
          <w:tab w:val="left" w:pos="420"/>
          <w:tab w:val="left" w:pos="540"/>
        </w:tabs>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投标供应商法律责任</w:t>
      </w:r>
    </w:p>
    <w:p>
      <w:pPr>
        <w:tabs>
          <w:tab w:val="left" w:pos="540"/>
          <w:tab w:val="left" w:pos="900"/>
        </w:tabs>
        <w:overflowPunct w:val="0"/>
        <w:spacing w:line="460" w:lineRule="exact"/>
        <w:ind w:left="440" w:hanging="440" w:hanging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9.1</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投标供应商应保证所提供文件资料的真实性，所有文件资料必须是针对本次投标的。如发现投标供应商提供了虚假文件资料，其投标将被拒绝，并自行承担相应的法律责任。</w:t>
      </w:r>
    </w:p>
    <w:p>
      <w:pPr>
        <w:numPr>
          <w:ilvl w:val="0"/>
          <w:numId w:val="2"/>
        </w:numPr>
        <w:tabs>
          <w:tab w:val="left" w:pos="420"/>
          <w:tab w:val="left" w:pos="540"/>
        </w:tabs>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的构成：</w:t>
      </w:r>
    </w:p>
    <w:p>
      <w:pPr>
        <w:numPr>
          <w:ilvl w:val="1"/>
          <w:numId w:val="4"/>
        </w:numPr>
        <w:tabs>
          <w:tab w:val="left" w:pos="535"/>
          <w:tab w:val="clear" w:pos="992"/>
        </w:tabs>
        <w:overflowPunct w:val="0"/>
        <w:spacing w:line="460" w:lineRule="exact"/>
        <w:ind w:left="535" w:hanging="53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w:t>
      </w:r>
      <w:r>
        <w:rPr>
          <w:rFonts w:hint="eastAsia" w:ascii="宋体" w:hAnsi="宋体" w:eastAsia="宋体" w:cs="宋体"/>
          <w:b/>
          <w:color w:val="auto"/>
          <w:sz w:val="22"/>
          <w:szCs w:val="22"/>
          <w:highlight w:val="none"/>
          <w:lang w:eastAsia="zh-CN"/>
        </w:rPr>
        <w:t>投标文件</w:t>
      </w:r>
      <w:r>
        <w:rPr>
          <w:rFonts w:hint="eastAsia" w:ascii="宋体" w:hAnsi="宋体" w:eastAsia="宋体" w:cs="宋体"/>
          <w:b/>
          <w:color w:val="auto"/>
          <w:sz w:val="22"/>
          <w:szCs w:val="22"/>
          <w:highlight w:val="none"/>
        </w:rPr>
        <w:t>由“资格文件”、“报价文件”和“商务技术文件”三个部分组成：</w:t>
      </w:r>
    </w:p>
    <w:tbl>
      <w:tblPr>
        <w:tblStyle w:val="36"/>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7796"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内容</w:t>
            </w:r>
          </w:p>
        </w:tc>
        <w:tc>
          <w:tcPr>
            <w:tcW w:w="1241"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w:t>
            </w:r>
          </w:p>
        </w:tc>
        <w:tc>
          <w:tcPr>
            <w:tcW w:w="7796"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u w:val="single"/>
              </w:rPr>
              <w:t>▲</w:t>
            </w:r>
            <w:r>
              <w:rPr>
                <w:rFonts w:hint="eastAsia" w:ascii="宋体" w:hAnsi="宋体" w:eastAsia="宋体" w:cs="宋体"/>
                <w:b/>
                <w:color w:val="auto"/>
                <w:sz w:val="22"/>
                <w:szCs w:val="22"/>
                <w:highlight w:val="none"/>
                <w:u w:val="single"/>
              </w:rPr>
              <w:t>资格文件</w:t>
            </w:r>
          </w:p>
        </w:tc>
        <w:tc>
          <w:tcPr>
            <w:tcW w:w="1241"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w:t>
            </w:r>
          </w:p>
        </w:tc>
        <w:tc>
          <w:tcPr>
            <w:tcW w:w="7796" w:type="dxa"/>
            <w:vAlign w:val="center"/>
          </w:tcPr>
          <w:p>
            <w:pPr>
              <w:pStyle w:val="13"/>
              <w:spacing w:beforeLines="0" w:afterLines="0"/>
              <w:ind w:left="0" w:firstLine="0" w:firstLineChars="0"/>
              <w:rPr>
                <w:rFonts w:hint="eastAsia" w:ascii="宋体" w:hAnsi="宋体" w:eastAsia="宋体" w:cs="宋体"/>
                <w:color w:val="auto"/>
                <w:sz w:val="22"/>
                <w:szCs w:val="22"/>
                <w:highlight w:val="none"/>
                <w:u w:val="single" w:color="auto"/>
              </w:rPr>
            </w:pPr>
            <w:r>
              <w:rPr>
                <w:rFonts w:hint="eastAsia" w:ascii="宋体" w:hAnsi="宋体" w:eastAsia="宋体" w:cs="宋体"/>
                <w:color w:val="auto"/>
                <w:sz w:val="22"/>
                <w:szCs w:val="22"/>
                <w:highlight w:val="none"/>
                <w:u w:val="single" w:color="auto"/>
              </w:rPr>
              <w:t>营业执照(或事业法人登记证书或其它工商等登记证明材料；自然人参与国企采购，提供身份证)；金融、保险、通讯等特定行业的全国性企业所设立的区域性分支机构，以及个体工商户、个人独资企业、合伙企业，如果已经依法办理了工商、税务和社保登记手续，并且获得总公司（总机构）授权【或省级机构（一级机构），如无明显确定为省级机构（一级机构）的需提供证明】或能够提供房产权证或其他有效财产证明材料（在投标文件中提供相关材料），证明其具备实际承担责任的能力和法定的缔结合同能力，可以独立参加国企采购活动，由单位负责人签署</w:t>
            </w:r>
            <w:r>
              <w:rPr>
                <w:rFonts w:hint="eastAsia" w:ascii="宋体" w:hAnsi="宋体" w:eastAsia="宋体" w:cs="宋体"/>
                <w:color w:val="auto"/>
                <w:highlight w:val="none"/>
                <w:u w:val="single" w:color="auto"/>
              </w:rPr>
              <w:t>（签字或盖章）</w:t>
            </w:r>
            <w:r>
              <w:rPr>
                <w:rFonts w:hint="eastAsia" w:ascii="宋体" w:hAnsi="宋体" w:eastAsia="宋体" w:cs="宋体"/>
                <w:color w:val="auto"/>
                <w:sz w:val="22"/>
                <w:szCs w:val="22"/>
                <w:highlight w:val="none"/>
                <w:u w:val="single" w:color="auto"/>
              </w:rPr>
              <w:t>相关文件材料；</w:t>
            </w:r>
          </w:p>
        </w:tc>
        <w:tc>
          <w:tcPr>
            <w:tcW w:w="1241"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709"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2）</w:t>
            </w:r>
          </w:p>
        </w:tc>
        <w:tc>
          <w:tcPr>
            <w:tcW w:w="7796" w:type="dxa"/>
            <w:vAlign w:val="center"/>
          </w:tcPr>
          <w:p>
            <w:pPr>
              <w:pStyle w:val="13"/>
              <w:ind w:left="31" w:hanging="33" w:hangingChars="15"/>
              <w:rPr>
                <w:rFonts w:hint="eastAsia" w:ascii="宋体" w:hAnsi="宋体" w:eastAsia="宋体" w:cs="宋体"/>
                <w:color w:val="auto"/>
                <w:sz w:val="22"/>
                <w:szCs w:val="22"/>
                <w:highlight w:val="none"/>
                <w:u w:val="single" w:color="auto"/>
              </w:rPr>
            </w:pPr>
            <w:bookmarkStart w:id="102" w:name="_Hlk95202542"/>
            <w:r>
              <w:rPr>
                <w:rFonts w:hint="eastAsia" w:ascii="宋体" w:hAnsi="宋体" w:eastAsia="宋体" w:cs="宋体"/>
                <w:b w:val="0"/>
                <w:bCs w:val="0"/>
                <w:color w:val="auto"/>
                <w:sz w:val="22"/>
                <w:szCs w:val="22"/>
                <w:highlight w:val="none"/>
                <w:u w:val="single" w:color="auto"/>
              </w:rPr>
              <w:t>符合参加国企采购活动应当具备的条件的承诺函</w:t>
            </w:r>
            <w:bookmarkEnd w:id="102"/>
            <w:r>
              <w:rPr>
                <w:rFonts w:hint="eastAsia" w:ascii="宋体" w:hAnsi="宋体" w:eastAsia="宋体" w:cs="宋体"/>
                <w:color w:val="auto"/>
                <w:sz w:val="22"/>
                <w:szCs w:val="22"/>
                <w:highlight w:val="none"/>
                <w:u w:val="single" w:color="auto"/>
              </w:rPr>
              <w:t>;</w:t>
            </w:r>
          </w:p>
        </w:tc>
        <w:tc>
          <w:tcPr>
            <w:tcW w:w="1241"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w:t>
            </w:r>
          </w:p>
        </w:tc>
        <w:tc>
          <w:tcPr>
            <w:tcW w:w="7796" w:type="dxa"/>
            <w:vAlign w:val="center"/>
          </w:tcPr>
          <w:p>
            <w:pPr>
              <w:pStyle w:val="13"/>
              <w:spacing w:beforeLines="0" w:afterLines="0"/>
              <w:ind w:left="0" w:firstLine="0" w:firstLineChars="0"/>
              <w:rPr>
                <w:rFonts w:hint="eastAsia" w:ascii="宋体" w:hAnsi="宋体" w:eastAsia="宋体" w:cs="宋体"/>
                <w:color w:val="auto"/>
                <w:sz w:val="22"/>
                <w:szCs w:val="22"/>
                <w:highlight w:val="none"/>
                <w:u w:val="single" w:color="auto"/>
              </w:rPr>
            </w:pPr>
            <w:r>
              <w:rPr>
                <w:rFonts w:hint="eastAsia" w:ascii="宋体" w:hAnsi="宋体" w:eastAsia="宋体" w:cs="宋体"/>
                <w:color w:val="auto"/>
                <w:sz w:val="22"/>
                <w:szCs w:val="22"/>
                <w:highlight w:val="none"/>
                <w:u w:val="single" w:color="auto"/>
              </w:rPr>
              <w:t>单位负责人为同一人或者存在直接控股、管理关系的不同供应商，不得参加同一合同项下的国企采购活动承诺函；</w:t>
            </w:r>
          </w:p>
        </w:tc>
        <w:tc>
          <w:tcPr>
            <w:tcW w:w="1241"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3</w:t>
            </w:r>
            <w:r>
              <w:rPr>
                <w:rFonts w:hint="eastAsia" w:ascii="宋体" w:hAnsi="宋体" w:eastAsia="宋体" w:cs="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w:t>
            </w:r>
          </w:p>
        </w:tc>
        <w:tc>
          <w:tcPr>
            <w:tcW w:w="7796" w:type="dxa"/>
            <w:vAlign w:val="center"/>
          </w:tcPr>
          <w:p>
            <w:pPr>
              <w:pStyle w:val="13"/>
              <w:ind w:left="440" w:hanging="440"/>
              <w:rPr>
                <w:rFonts w:hint="eastAsia" w:ascii="宋体" w:hAnsi="宋体" w:eastAsia="宋体" w:cs="宋体"/>
                <w:color w:val="auto"/>
                <w:sz w:val="22"/>
                <w:szCs w:val="22"/>
                <w:highlight w:val="none"/>
                <w:u w:val="single" w:color="auto"/>
              </w:rPr>
            </w:pPr>
            <w:r>
              <w:rPr>
                <w:rFonts w:hint="eastAsia" w:ascii="宋体" w:hAnsi="宋体" w:eastAsia="宋体" w:cs="宋体"/>
                <w:color w:val="auto"/>
                <w:sz w:val="22"/>
                <w:szCs w:val="22"/>
                <w:highlight w:val="none"/>
                <w:u w:val="single" w:color="auto"/>
                <w:lang w:val="zh-CN"/>
              </w:rPr>
              <w:t>投标供应商没有失信记录承诺函；</w:t>
            </w:r>
          </w:p>
        </w:tc>
        <w:tc>
          <w:tcPr>
            <w:tcW w:w="1241"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4</w:t>
            </w:r>
            <w:r>
              <w:rPr>
                <w:rFonts w:hint="eastAsia" w:ascii="宋体" w:hAnsi="宋体" w:eastAsia="宋体" w:cs="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w:t>
            </w:r>
          </w:p>
        </w:tc>
        <w:tc>
          <w:tcPr>
            <w:tcW w:w="7796" w:type="dxa"/>
            <w:vAlign w:val="center"/>
          </w:tcPr>
          <w:p>
            <w:pPr>
              <w:pStyle w:val="13"/>
              <w:ind w:left="1" w:firstLine="33" w:firstLineChars="15"/>
              <w:rPr>
                <w:rFonts w:hint="eastAsia" w:ascii="宋体" w:hAnsi="宋体" w:eastAsia="宋体" w:cs="宋体"/>
                <w:color w:val="auto"/>
                <w:sz w:val="22"/>
                <w:szCs w:val="22"/>
                <w:highlight w:val="none"/>
                <w:u w:val="single" w:color="auto"/>
              </w:rPr>
            </w:pPr>
            <w:r>
              <w:rPr>
                <w:rFonts w:hint="eastAsia" w:ascii="宋体" w:hAnsi="宋体" w:eastAsia="宋体" w:cs="宋体"/>
                <w:color w:val="auto"/>
                <w:sz w:val="22"/>
                <w:szCs w:val="22"/>
                <w:highlight w:val="none"/>
                <w:u w:val="single"/>
              </w:rPr>
              <w:t>具备行业监管部门认定的从事超短期融资券主承销业务的</w:t>
            </w:r>
            <w:r>
              <w:rPr>
                <w:rFonts w:hint="eastAsia" w:ascii="宋体" w:hAnsi="宋体" w:eastAsia="宋体" w:cs="宋体"/>
                <w:color w:val="auto"/>
                <w:sz w:val="22"/>
                <w:szCs w:val="22"/>
                <w:highlight w:val="none"/>
                <w:u w:val="single"/>
                <w:lang w:val="en-US" w:eastAsia="zh-CN"/>
              </w:rPr>
              <w:t>A类主承销业务承销类会员资格（提供非金融企业债务融资工具承销机构名单）；如投标供应商为总公司（总机构）的或全国性企业所设立的区域性分支机构中的省级机构（一级机构），则仅需提交总公司（总机构）的A类主承销业务承销类会员资格证明；如投标供应商为全国性企业所设立的区域性分支机构中的市级机构（二级机构），则需提交总公司（总机构）的A类主承销业务承销类会员资格证明，同时提供总公司（总机构）授权文件或提供省级机构（一级机构）授权文件；</w:t>
            </w:r>
          </w:p>
        </w:tc>
        <w:tc>
          <w:tcPr>
            <w:tcW w:w="1241" w:type="dxa"/>
            <w:vAlign w:val="center"/>
          </w:tcPr>
          <w:p>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5</w:t>
            </w:r>
            <w:r>
              <w:rPr>
                <w:rFonts w:hint="eastAsia" w:ascii="宋体" w:hAnsi="宋体" w:eastAsia="宋体" w:cs="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w:t>
            </w:r>
          </w:p>
        </w:tc>
        <w:tc>
          <w:tcPr>
            <w:tcW w:w="7796" w:type="dxa"/>
            <w:vAlign w:val="center"/>
          </w:tcPr>
          <w:p>
            <w:pPr>
              <w:rPr>
                <w:rFonts w:hint="eastAsia" w:ascii="宋体" w:hAnsi="宋体" w:eastAsia="宋体" w:cs="宋体"/>
                <w:color w:val="auto"/>
                <w:sz w:val="22"/>
                <w:szCs w:val="22"/>
                <w:highlight w:val="none"/>
                <w:u w:val="single" w:color="auto"/>
                <w:lang w:val="zh-CN"/>
              </w:rPr>
            </w:pPr>
            <w:r>
              <w:rPr>
                <w:rFonts w:hint="eastAsia" w:ascii="宋体" w:hAnsi="宋体" w:eastAsia="宋体" w:cs="宋体"/>
                <w:color w:val="auto"/>
                <w:sz w:val="22"/>
                <w:szCs w:val="22"/>
                <w:highlight w:val="none"/>
                <w:u w:val="single" w:color="auto"/>
              </w:rPr>
              <w:t>法定代表人（或单位负责人）授权书</w:t>
            </w:r>
            <w:r>
              <w:rPr>
                <w:rFonts w:hint="eastAsia" w:ascii="宋体" w:hAnsi="宋体" w:eastAsia="宋体" w:cs="宋体"/>
                <w:color w:val="auto"/>
                <w:sz w:val="22"/>
                <w:szCs w:val="22"/>
                <w:highlight w:val="none"/>
                <w:u w:val="single" w:color="auto"/>
                <w:lang w:eastAsia="zh-CN"/>
              </w:rPr>
              <w:t>。</w:t>
            </w:r>
          </w:p>
        </w:tc>
        <w:tc>
          <w:tcPr>
            <w:tcW w:w="1241" w:type="dxa"/>
            <w:vAlign w:val="center"/>
          </w:tcPr>
          <w:p>
            <w:pPr>
              <w:jc w:val="center"/>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2</w:t>
            </w:r>
          </w:p>
        </w:tc>
        <w:tc>
          <w:tcPr>
            <w:tcW w:w="7796" w:type="dxa"/>
            <w:vAlign w:val="center"/>
          </w:tcPr>
          <w:p>
            <w:pPr>
              <w:pStyle w:val="13"/>
              <w:ind w:left="442" w:hanging="442"/>
              <w:jc w:val="center"/>
              <w:rPr>
                <w:rFonts w:hint="eastAsia" w:ascii="宋体" w:hAnsi="宋体" w:eastAsia="宋体" w:cs="宋体"/>
                <w:color w:val="auto"/>
                <w:sz w:val="22"/>
                <w:szCs w:val="22"/>
                <w:highlight w:val="none"/>
                <w:lang w:val="zh-CN"/>
              </w:rPr>
            </w:pPr>
            <w:r>
              <w:rPr>
                <w:rFonts w:hint="eastAsia" w:ascii="宋体" w:hAnsi="宋体" w:eastAsia="宋体" w:cs="宋体"/>
                <w:b/>
                <w:bCs/>
                <w:color w:val="auto"/>
                <w:sz w:val="22"/>
                <w:szCs w:val="22"/>
                <w:highlight w:val="none"/>
              </w:rPr>
              <w:t>报价文件</w:t>
            </w:r>
          </w:p>
        </w:tc>
        <w:tc>
          <w:tcPr>
            <w:tcW w:w="1241" w:type="dxa"/>
            <w:vAlign w:val="center"/>
          </w:tcPr>
          <w:p>
            <w:pPr>
              <w:jc w:val="center"/>
              <w:rPr>
                <w:rFonts w:hint="eastAsia" w:ascii="宋体" w:hAnsi="宋体" w:eastAsia="宋体"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7796" w:type="dxa"/>
            <w:vAlign w:val="center"/>
          </w:tcPr>
          <w:p>
            <w:pPr>
              <w:pStyle w:val="13"/>
              <w:ind w:left="440" w:hanging="440"/>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报价一览表</w:t>
            </w:r>
          </w:p>
        </w:tc>
        <w:tc>
          <w:tcPr>
            <w:tcW w:w="1241"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7796" w:type="dxa"/>
            <w:vAlign w:val="center"/>
          </w:tcPr>
          <w:p>
            <w:pPr>
              <w:pStyle w:val="13"/>
              <w:ind w:left="440" w:hanging="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中标承销费率承诺函</w:t>
            </w:r>
          </w:p>
        </w:tc>
        <w:tc>
          <w:tcPr>
            <w:tcW w:w="1241" w:type="dxa"/>
            <w:vAlign w:val="center"/>
          </w:tcPr>
          <w:p>
            <w:pPr>
              <w:jc w:val="center"/>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w:t>
            </w:r>
          </w:p>
        </w:tc>
        <w:tc>
          <w:tcPr>
            <w:tcW w:w="7796" w:type="dxa"/>
            <w:vAlign w:val="center"/>
          </w:tcPr>
          <w:p>
            <w:pPr>
              <w:pStyle w:val="13"/>
              <w:ind w:left="442" w:hanging="442"/>
              <w:jc w:val="center"/>
              <w:rPr>
                <w:rFonts w:hint="eastAsia" w:ascii="宋体" w:hAnsi="宋体" w:eastAsia="宋体" w:cs="宋体"/>
                <w:color w:val="auto"/>
                <w:highlight w:val="none"/>
                <w:lang w:val="zh-CN"/>
              </w:rPr>
            </w:pPr>
            <w:r>
              <w:rPr>
                <w:rFonts w:hint="eastAsia" w:ascii="宋体" w:hAnsi="宋体" w:eastAsia="宋体" w:cs="宋体"/>
                <w:b/>
                <w:color w:val="auto"/>
                <w:sz w:val="22"/>
                <w:szCs w:val="22"/>
                <w:highlight w:val="none"/>
                <w:lang w:val="zh-CN"/>
              </w:rPr>
              <w:t>商务技术文件</w:t>
            </w:r>
          </w:p>
        </w:tc>
        <w:tc>
          <w:tcPr>
            <w:tcW w:w="1241" w:type="dxa"/>
            <w:vAlign w:val="center"/>
          </w:tcPr>
          <w:p>
            <w:pPr>
              <w:jc w:val="center"/>
              <w:rPr>
                <w:rFonts w:hint="eastAsia" w:ascii="宋体" w:hAnsi="宋体" w:eastAsia="宋体"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7796" w:type="dxa"/>
            <w:vAlign w:val="center"/>
          </w:tcPr>
          <w:p>
            <w:pPr>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u w:val="single"/>
              </w:rPr>
              <w:t>▲投标函</w:t>
            </w:r>
          </w:p>
        </w:tc>
        <w:tc>
          <w:tcPr>
            <w:tcW w:w="1241"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7796"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商务技术文件部分（按“评标细则”相关评分内容逐项编制）</w:t>
            </w:r>
          </w:p>
          <w:p>
            <w:pPr>
              <w:pStyle w:val="13"/>
              <w:ind w:left="1" w:firstLine="0" w:firstLineChars="0"/>
              <w:rPr>
                <w:rFonts w:hint="eastAsia" w:ascii="宋体" w:hAnsi="宋体" w:eastAsia="宋体" w:cs="宋体"/>
                <w:b/>
                <w:color w:val="auto"/>
                <w:highlight w:val="none"/>
              </w:rPr>
            </w:pPr>
            <w:r>
              <w:rPr>
                <w:rFonts w:hint="eastAsia" w:ascii="宋体" w:hAnsi="宋体" w:eastAsia="宋体" w:cs="宋体"/>
                <w:color w:val="auto"/>
                <w:sz w:val="22"/>
                <w:szCs w:val="22"/>
                <w:highlight w:val="none"/>
              </w:rPr>
              <w:t>本文件《第三部分  附件》未提供格式的，可自行拟定格式，并加盖</w:t>
            </w:r>
            <w:r>
              <w:rPr>
                <w:rFonts w:hint="eastAsia" w:ascii="宋体" w:hAnsi="宋体" w:eastAsia="宋体" w:cs="宋体"/>
                <w:color w:val="auto"/>
                <w:sz w:val="22"/>
                <w:szCs w:val="22"/>
                <w:highlight w:val="none"/>
                <w:lang w:val="en-US" w:eastAsia="zh-CN"/>
              </w:rPr>
              <w:t>投标供应商</w:t>
            </w:r>
            <w:r>
              <w:rPr>
                <w:rFonts w:hint="eastAsia" w:ascii="宋体" w:hAnsi="宋体" w:eastAsia="宋体" w:cs="宋体"/>
                <w:color w:val="auto"/>
                <w:sz w:val="22"/>
                <w:szCs w:val="22"/>
                <w:highlight w:val="none"/>
              </w:rPr>
              <w:t>公章，</w:t>
            </w:r>
            <w:r>
              <w:rPr>
                <w:rFonts w:hint="eastAsia" w:ascii="宋体" w:hAnsi="宋体" w:eastAsia="宋体" w:cs="宋体"/>
                <w:color w:val="auto"/>
                <w:highlight w:val="none"/>
              </w:rPr>
              <w:t>并由法定代表人（或单位负责人）或其授权代表签署（签字或盖章），否则视为未提供。</w:t>
            </w:r>
          </w:p>
        </w:tc>
        <w:tc>
          <w:tcPr>
            <w:tcW w:w="1241"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7796" w:type="dxa"/>
            <w:vAlign w:val="center"/>
          </w:tcPr>
          <w:p>
            <w:pPr>
              <w:spacing w:after="160" w:line="2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拟投入本项目的服务团队人员配置表</w:t>
            </w:r>
          </w:p>
        </w:tc>
        <w:tc>
          <w:tcPr>
            <w:tcW w:w="1241"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7796" w:type="dxa"/>
            <w:vAlign w:val="center"/>
          </w:tcPr>
          <w:p>
            <w:pPr>
              <w:spacing w:after="160" w:line="2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投标供应商公司简介以及认为需要提供的其他相关资料</w:t>
            </w:r>
          </w:p>
        </w:tc>
        <w:tc>
          <w:tcPr>
            <w:tcW w:w="1241" w:type="dxa"/>
            <w:vAlign w:val="center"/>
          </w:tcPr>
          <w:p>
            <w:pPr>
              <w:jc w:val="center"/>
              <w:rPr>
                <w:rFonts w:hint="eastAsia" w:ascii="宋体" w:hAnsi="宋体" w:eastAsia="宋体" w:cs="宋体"/>
                <w:color w:val="auto"/>
                <w:sz w:val="22"/>
                <w:szCs w:val="22"/>
                <w:highlight w:val="none"/>
              </w:rPr>
            </w:pPr>
          </w:p>
        </w:tc>
      </w:tr>
    </w:tbl>
    <w:p>
      <w:pPr>
        <w:tabs>
          <w:tab w:val="left" w:pos="900"/>
          <w:tab w:val="left" w:pos="5355"/>
        </w:tabs>
        <w:spacing w:line="430" w:lineRule="exact"/>
        <w:ind w:left="-8" w:firstLine="648"/>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w:t>
      </w:r>
    </w:p>
    <w:p>
      <w:pPr>
        <w:tabs>
          <w:tab w:val="left" w:pos="900"/>
          <w:tab w:val="left" w:pos="5355"/>
        </w:tabs>
        <w:spacing w:line="430" w:lineRule="exact"/>
        <w:ind w:left="636" w:leftChars="30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1）投标供应商可根据采购文件中的采购内容及要求和商务技术评分表，提供投标供应商认为需要提供的文件和资料。</w:t>
      </w:r>
    </w:p>
    <w:p>
      <w:pPr>
        <w:tabs>
          <w:tab w:val="left" w:pos="567"/>
          <w:tab w:val="left" w:pos="5355"/>
        </w:tabs>
        <w:spacing w:line="430" w:lineRule="exact"/>
        <w:ind w:left="-8" w:firstLine="648"/>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2）以上所需的各种证书、证件、证明、执照</w:t>
      </w:r>
      <w:r>
        <w:rPr>
          <w:rFonts w:hint="eastAsia" w:ascii="宋体" w:hAnsi="宋体" w:eastAsia="宋体" w:cs="宋体"/>
          <w:color w:val="auto"/>
          <w:sz w:val="22"/>
          <w:szCs w:val="22"/>
          <w:highlight w:val="none"/>
          <w:lang w:val="en-US" w:eastAsia="zh-CN"/>
        </w:rPr>
        <w:t>复制件</w:t>
      </w:r>
      <w:r>
        <w:rPr>
          <w:rFonts w:hint="eastAsia" w:ascii="宋体" w:hAnsi="宋体" w:eastAsia="宋体" w:cs="宋体"/>
          <w:color w:val="auto"/>
          <w:sz w:val="22"/>
          <w:szCs w:val="22"/>
          <w:highlight w:val="none"/>
        </w:rPr>
        <w:t>须加盖</w:t>
      </w:r>
      <w:r>
        <w:rPr>
          <w:rFonts w:hint="eastAsia" w:ascii="宋体" w:hAnsi="宋体" w:eastAsia="宋体" w:cs="宋体"/>
          <w:color w:val="auto"/>
          <w:sz w:val="22"/>
          <w:szCs w:val="22"/>
          <w:highlight w:val="none"/>
          <w:lang w:eastAsia="zh-CN"/>
        </w:rPr>
        <w:t>投标供应商公章</w:t>
      </w:r>
      <w:r>
        <w:rPr>
          <w:rFonts w:hint="eastAsia" w:ascii="宋体" w:hAnsi="宋体" w:eastAsia="宋体" w:cs="宋体"/>
          <w:color w:val="auto"/>
          <w:sz w:val="22"/>
          <w:szCs w:val="22"/>
          <w:highlight w:val="none"/>
        </w:rPr>
        <w:t>。</w:t>
      </w:r>
    </w:p>
    <w:p>
      <w:pPr>
        <w:tabs>
          <w:tab w:val="left" w:pos="567"/>
          <w:tab w:val="left" w:pos="5355"/>
        </w:tabs>
        <w:spacing w:line="430" w:lineRule="exact"/>
        <w:ind w:left="-8" w:firstLine="648"/>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3）投标供应商的投标文件必须按照采购文件要求制作。</w:t>
      </w:r>
    </w:p>
    <w:p>
      <w:pPr>
        <w:numPr>
          <w:ilvl w:val="0"/>
          <w:numId w:val="2"/>
        </w:numPr>
        <w:tabs>
          <w:tab w:val="left" w:pos="420"/>
          <w:tab w:val="left" w:pos="540"/>
        </w:tabs>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w:t>
      </w:r>
    </w:p>
    <w:p>
      <w:pPr>
        <w:numPr>
          <w:ilvl w:val="1"/>
          <w:numId w:val="5"/>
        </w:numPr>
        <w:tabs>
          <w:tab w:val="left" w:pos="535"/>
          <w:tab w:val="clear" w:pos="992"/>
        </w:tabs>
        <w:overflowPunct w:val="0"/>
        <w:spacing w:line="460" w:lineRule="exact"/>
        <w:ind w:left="535" w:hanging="53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本次采购的报价方式及要求：详见“</w:t>
      </w:r>
      <w:bookmarkStart w:id="103" w:name="_Hlk3446701"/>
      <w:r>
        <w:rPr>
          <w:rFonts w:hint="eastAsia" w:ascii="宋体" w:hAnsi="宋体" w:eastAsia="宋体" w:cs="宋体"/>
          <w:b/>
          <w:bCs/>
          <w:color w:val="auto"/>
          <w:sz w:val="22"/>
          <w:szCs w:val="22"/>
          <w:highlight w:val="none"/>
        </w:rPr>
        <w:t>报价一览表</w:t>
      </w:r>
      <w:bookmarkEnd w:id="103"/>
      <w:r>
        <w:rPr>
          <w:rFonts w:hint="eastAsia" w:ascii="宋体" w:hAnsi="宋体" w:eastAsia="宋体" w:cs="宋体"/>
          <w:b/>
          <w:bCs/>
          <w:color w:val="auto"/>
          <w:sz w:val="22"/>
          <w:szCs w:val="22"/>
          <w:highlight w:val="none"/>
        </w:rPr>
        <w:t>”。</w:t>
      </w:r>
    </w:p>
    <w:p>
      <w:pPr>
        <w:numPr>
          <w:ilvl w:val="1"/>
          <w:numId w:val="5"/>
        </w:numPr>
        <w:tabs>
          <w:tab w:val="left" w:pos="540"/>
          <w:tab w:val="clear" w:pos="992"/>
        </w:tabs>
        <w:overflowPunct w:val="0"/>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投标供应商必须按</w:t>
      </w:r>
      <w:r>
        <w:rPr>
          <w:rFonts w:hint="eastAsia" w:ascii="宋体" w:hAnsi="宋体" w:eastAsia="宋体" w:cs="宋体"/>
          <w:b/>
          <w:bCs/>
          <w:color w:val="auto"/>
          <w:sz w:val="22"/>
          <w:szCs w:val="22"/>
          <w:highlight w:val="none"/>
        </w:rPr>
        <w:t>“</w:t>
      </w:r>
      <w:r>
        <w:rPr>
          <w:rFonts w:hint="eastAsia" w:ascii="宋体" w:hAnsi="宋体" w:eastAsia="宋体" w:cs="宋体"/>
          <w:color w:val="auto"/>
          <w:sz w:val="22"/>
          <w:szCs w:val="22"/>
          <w:highlight w:val="none"/>
        </w:rPr>
        <w:t>报价一览表</w:t>
      </w:r>
      <w:r>
        <w:rPr>
          <w:rFonts w:hint="eastAsia" w:ascii="宋体" w:hAnsi="宋体" w:eastAsia="宋体" w:cs="宋体"/>
          <w:b/>
          <w:bCs/>
          <w:color w:val="auto"/>
          <w:sz w:val="22"/>
          <w:szCs w:val="22"/>
          <w:highlight w:val="none"/>
        </w:rPr>
        <w:t>”</w:t>
      </w:r>
      <w:r>
        <w:rPr>
          <w:rFonts w:hint="eastAsia" w:ascii="宋体" w:hAnsi="宋体" w:eastAsia="宋体" w:cs="宋体"/>
          <w:color w:val="auto"/>
          <w:sz w:val="22"/>
          <w:szCs w:val="22"/>
          <w:highlight w:val="none"/>
        </w:rPr>
        <w:t>（统一格式）填写投标报价及其他内容，并由法定代表人（或单位负责人）或授权代表签署</w:t>
      </w:r>
      <w:r>
        <w:rPr>
          <w:rFonts w:hint="eastAsia" w:ascii="宋体" w:hAnsi="宋体" w:eastAsia="宋体" w:cs="宋体"/>
          <w:color w:val="auto"/>
          <w:highlight w:val="none"/>
        </w:rPr>
        <w:t>（签字或盖章）</w:t>
      </w:r>
      <w:r>
        <w:rPr>
          <w:rFonts w:hint="eastAsia" w:ascii="宋体" w:hAnsi="宋体" w:eastAsia="宋体" w:cs="宋体"/>
          <w:color w:val="auto"/>
          <w:sz w:val="22"/>
          <w:szCs w:val="22"/>
          <w:highlight w:val="none"/>
        </w:rPr>
        <w:t>。</w:t>
      </w:r>
    </w:p>
    <w:p>
      <w:pPr>
        <w:numPr>
          <w:ilvl w:val="1"/>
          <w:numId w:val="5"/>
        </w:numPr>
        <w:tabs>
          <w:tab w:val="left" w:pos="540"/>
          <w:tab w:val="clear" w:pos="992"/>
        </w:tabs>
        <w:overflowPunct w:val="0"/>
        <w:spacing w:line="460" w:lineRule="exact"/>
        <w:ind w:left="540" w:hanging="54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所有投标均以人民币报价。</w:t>
      </w:r>
    </w:p>
    <w:p>
      <w:pPr>
        <w:numPr>
          <w:ilvl w:val="1"/>
          <w:numId w:val="5"/>
        </w:numPr>
        <w:tabs>
          <w:tab w:val="left" w:pos="540"/>
          <w:tab w:val="clear" w:pos="992"/>
        </w:tabs>
        <w:overflowPunct w:val="0"/>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采购人不接受任何选择报价，只允许一个报价。</w:t>
      </w:r>
    </w:p>
    <w:p>
      <w:pPr>
        <w:numPr>
          <w:ilvl w:val="1"/>
          <w:numId w:val="5"/>
        </w:numPr>
        <w:tabs>
          <w:tab w:val="left" w:pos="535"/>
          <w:tab w:val="clear" w:pos="992"/>
        </w:tabs>
        <w:overflowPunct w:val="0"/>
        <w:spacing w:line="460" w:lineRule="exact"/>
        <w:ind w:left="535" w:hanging="53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投标供应商依据市场行情和自身情况自由竞价。</w:t>
      </w:r>
    </w:p>
    <w:p>
      <w:pPr>
        <w:numPr>
          <w:ilvl w:val="1"/>
          <w:numId w:val="5"/>
        </w:numPr>
        <w:tabs>
          <w:tab w:val="left" w:pos="540"/>
          <w:tab w:val="clear" w:pos="992"/>
        </w:tabs>
        <w:overflowPunct w:val="0"/>
        <w:spacing w:line="460" w:lineRule="exact"/>
        <w:ind w:left="540" w:hanging="54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最低报价不作为中标的保证。</w:t>
      </w:r>
    </w:p>
    <w:p>
      <w:pPr>
        <w:numPr>
          <w:ilvl w:val="0"/>
          <w:numId w:val="2"/>
        </w:numPr>
        <w:tabs>
          <w:tab w:val="left" w:pos="420"/>
          <w:tab w:val="left" w:pos="540"/>
        </w:tabs>
        <w:spacing w:line="460" w:lineRule="exact"/>
        <w:ind w:left="540" w:hanging="54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投标保证金</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本项目不要求提供。</w:t>
      </w:r>
    </w:p>
    <w:p>
      <w:pPr>
        <w:numPr>
          <w:numId w:val="0"/>
        </w:numPr>
        <w:tabs>
          <w:tab w:val="left" w:pos="535"/>
        </w:tabs>
        <w:overflowPunct w:val="0"/>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13. </w:t>
      </w:r>
      <w:r>
        <w:rPr>
          <w:rFonts w:hint="eastAsia" w:ascii="宋体" w:hAnsi="宋体" w:eastAsia="宋体" w:cs="宋体"/>
          <w:color w:val="auto"/>
          <w:sz w:val="22"/>
          <w:szCs w:val="22"/>
          <w:highlight w:val="none"/>
        </w:rPr>
        <w:t>投标有效期</w:t>
      </w:r>
    </w:p>
    <w:p>
      <w:pPr>
        <w:numPr>
          <w:ilvl w:val="1"/>
          <w:numId w:val="6"/>
        </w:numPr>
        <w:tabs>
          <w:tab w:val="clear" w:pos="992"/>
        </w:tabs>
        <w:overflowPunct w:val="0"/>
        <w:spacing w:line="460" w:lineRule="exact"/>
        <w:ind w:left="540" w:hanging="540"/>
        <w:rPr>
          <w:rFonts w:hint="eastAsia" w:ascii="宋体" w:hAnsi="宋体" w:eastAsia="宋体" w:cs="宋体"/>
          <w:b/>
          <w:bCs/>
          <w:color w:val="auto"/>
          <w:sz w:val="22"/>
          <w:szCs w:val="22"/>
          <w:highlight w:val="none"/>
          <w:u w:val="single"/>
        </w:rPr>
      </w:pPr>
      <w:r>
        <w:rPr>
          <w:rFonts w:hint="eastAsia" w:ascii="宋体" w:hAnsi="宋体" w:eastAsia="宋体" w:cs="宋体"/>
          <w:b/>
          <w:color w:val="auto"/>
          <w:sz w:val="22"/>
          <w:szCs w:val="22"/>
          <w:highlight w:val="none"/>
          <w:u w:val="single"/>
        </w:rPr>
        <w:t>▲</w:t>
      </w:r>
      <w:r>
        <w:rPr>
          <w:rFonts w:hint="eastAsia" w:ascii="宋体" w:hAnsi="宋体" w:eastAsia="宋体" w:cs="宋体"/>
          <w:b/>
          <w:bCs/>
          <w:color w:val="auto"/>
          <w:sz w:val="22"/>
          <w:szCs w:val="22"/>
          <w:highlight w:val="none"/>
          <w:u w:val="single"/>
        </w:rPr>
        <w:t>投标有效期</w:t>
      </w:r>
      <w:bookmarkStart w:id="104" w:name="_Hlk74606726"/>
      <w:r>
        <w:rPr>
          <w:rFonts w:hint="eastAsia" w:ascii="宋体" w:hAnsi="宋体" w:eastAsia="宋体" w:cs="宋体"/>
          <w:b/>
          <w:bCs/>
          <w:color w:val="auto"/>
          <w:sz w:val="22"/>
          <w:szCs w:val="22"/>
          <w:highlight w:val="none"/>
          <w:u w:val="single"/>
        </w:rPr>
        <w:t>详见《投标供应商须知前附表》规定</w:t>
      </w:r>
      <w:bookmarkEnd w:id="104"/>
      <w:r>
        <w:rPr>
          <w:rFonts w:hint="eastAsia" w:ascii="宋体" w:hAnsi="宋体" w:eastAsia="宋体" w:cs="宋体"/>
          <w:b/>
          <w:bCs/>
          <w:color w:val="auto"/>
          <w:sz w:val="22"/>
          <w:szCs w:val="22"/>
          <w:highlight w:val="none"/>
          <w:u w:val="single"/>
        </w:rPr>
        <w:t>。投标有效期短于这个规定期限的投标将视为非响应性投标而予以拒绝。</w:t>
      </w:r>
    </w:p>
    <w:p>
      <w:pPr>
        <w:numPr>
          <w:ilvl w:val="1"/>
          <w:numId w:val="6"/>
        </w:numPr>
        <w:tabs>
          <w:tab w:val="clear" w:pos="992"/>
        </w:tabs>
        <w:overflowPunct w:val="0"/>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特殊情况下，在原投标有效期截止前，采购人可与投标人协商延长投标有效期，这种要求和答复均以书面形式进行。投标人可拒绝接受延期要求。如同意延长投标有效期的投标人不得修改投标文件。</w:t>
      </w:r>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14. </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的签署</w:t>
      </w:r>
      <w:r>
        <w:rPr>
          <w:rFonts w:hint="eastAsia" w:ascii="宋体" w:hAnsi="宋体" w:eastAsia="宋体" w:cs="宋体"/>
          <w:color w:val="auto"/>
          <w:highlight w:val="none"/>
        </w:rPr>
        <w:t>（签字或盖章）</w:t>
      </w:r>
      <w:r>
        <w:rPr>
          <w:rFonts w:hint="eastAsia" w:ascii="宋体" w:hAnsi="宋体" w:eastAsia="宋体" w:cs="宋体"/>
          <w:color w:val="auto"/>
          <w:sz w:val="22"/>
          <w:szCs w:val="22"/>
          <w:highlight w:val="none"/>
        </w:rPr>
        <w:t>和规定</w:t>
      </w:r>
    </w:p>
    <w:p>
      <w:pPr>
        <w:numPr>
          <w:ilvl w:val="1"/>
          <w:numId w:val="7"/>
        </w:numPr>
        <w:tabs>
          <w:tab w:val="left" w:pos="642"/>
          <w:tab w:val="clear" w:pos="992"/>
        </w:tabs>
        <w:overflowPunct w:val="0"/>
        <w:spacing w:line="460" w:lineRule="exact"/>
        <w:ind w:left="642" w:hanging="642"/>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本项目通过“政府采购云平台（www.zcygov.cn）”实行在线投标响应（电子投标）。供应商应通过“政采云电子交易客户端”，并按照本采购文件和“政府采购云平台”的要求编制并加密投标文件</w:t>
      </w:r>
      <w:r>
        <w:rPr>
          <w:rFonts w:hint="eastAsia" w:ascii="宋体" w:hAnsi="宋体" w:eastAsia="宋体" w:cs="宋体"/>
          <w:color w:val="auto"/>
          <w:sz w:val="22"/>
          <w:szCs w:val="22"/>
          <w:highlight w:val="none"/>
        </w:rPr>
        <w:t>。</w:t>
      </w:r>
    </w:p>
    <w:p>
      <w:pPr>
        <w:numPr>
          <w:ilvl w:val="1"/>
          <w:numId w:val="7"/>
        </w:numPr>
        <w:tabs>
          <w:tab w:val="left" w:pos="642"/>
          <w:tab w:val="clear" w:pos="992"/>
        </w:tabs>
        <w:overflowPunct w:val="0"/>
        <w:spacing w:line="460" w:lineRule="exact"/>
        <w:ind w:left="642" w:hanging="642"/>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投标供应商应当按照本章节“</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由‘资格文件’、‘报价文件’和‘商务技术文件’三个部分组成”规定的内容及顺序在“政采云电子交易客户端”编制</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。其中“资格文件”和“商务技术文件”中不得出现本项目投标报价，如因投标供应商原因提前泄露投标报价，是投标供应商的责任。</w:t>
      </w:r>
    </w:p>
    <w:p>
      <w:pPr>
        <w:numPr>
          <w:ilvl w:val="1"/>
          <w:numId w:val="7"/>
        </w:numPr>
        <w:tabs>
          <w:tab w:val="clear" w:pos="992"/>
        </w:tabs>
        <w:overflowPunct w:val="0"/>
        <w:spacing w:line="460" w:lineRule="exact"/>
        <w:ind w:left="540" w:hanging="54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本文件“第三部分 附件”中有提供格式的，投标供应商须参照格式进行编制（格式中要求提供相关证明材料的还需后附相关证明材料），并按格式要求在指定位置根据要求加盖</w:t>
      </w:r>
      <w:r>
        <w:rPr>
          <w:rFonts w:hint="eastAsia" w:ascii="宋体" w:hAnsi="宋体" w:eastAsia="宋体" w:cs="宋体"/>
          <w:b/>
          <w:color w:val="auto"/>
          <w:sz w:val="22"/>
          <w:szCs w:val="22"/>
          <w:highlight w:val="none"/>
          <w:lang w:eastAsia="zh-CN"/>
        </w:rPr>
        <w:t>投标供应商公章</w:t>
      </w:r>
      <w:r>
        <w:rPr>
          <w:rFonts w:hint="eastAsia" w:ascii="宋体" w:hAnsi="宋体" w:eastAsia="宋体" w:cs="宋体"/>
          <w:b/>
          <w:color w:val="auto"/>
          <w:sz w:val="22"/>
          <w:szCs w:val="22"/>
          <w:highlight w:val="none"/>
        </w:rPr>
        <w:t>，并由法定代表人（或单位负责人）或其授权代表签署（签字或盖章），否则视为未提供；本文件“第三部分 附件”未提供格式的，请各投标单位自行拟定格式，并加盖</w:t>
      </w:r>
      <w:r>
        <w:rPr>
          <w:rFonts w:hint="eastAsia" w:ascii="宋体" w:hAnsi="宋体" w:eastAsia="宋体" w:cs="宋体"/>
          <w:b/>
          <w:color w:val="auto"/>
          <w:sz w:val="22"/>
          <w:szCs w:val="22"/>
          <w:highlight w:val="none"/>
          <w:lang w:eastAsia="zh-CN"/>
        </w:rPr>
        <w:t>投标供应商公章</w:t>
      </w:r>
      <w:r>
        <w:rPr>
          <w:rFonts w:hint="eastAsia" w:ascii="宋体" w:hAnsi="宋体" w:eastAsia="宋体" w:cs="宋体"/>
          <w:b/>
          <w:color w:val="auto"/>
          <w:sz w:val="22"/>
          <w:szCs w:val="22"/>
          <w:highlight w:val="none"/>
        </w:rPr>
        <w:t>，并由法定代表人（或单位负责人）或其授权代表签署（签字或盖章），否则视为未提供。</w:t>
      </w:r>
    </w:p>
    <w:p>
      <w:pPr>
        <w:numPr>
          <w:ilvl w:val="1"/>
          <w:numId w:val="7"/>
        </w:numPr>
        <w:tabs>
          <w:tab w:val="clear" w:pos="992"/>
        </w:tabs>
        <w:overflowPunct w:val="0"/>
        <w:spacing w:line="460" w:lineRule="exact"/>
        <w:ind w:left="540" w:hanging="54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lang w:eastAsia="zh-CN"/>
        </w:rPr>
        <w:t>投标文件</w:t>
      </w:r>
      <w:r>
        <w:rPr>
          <w:rFonts w:hint="eastAsia" w:ascii="宋体" w:hAnsi="宋体" w:eastAsia="宋体" w:cs="宋体"/>
          <w:b/>
          <w:color w:val="auto"/>
          <w:sz w:val="22"/>
          <w:szCs w:val="22"/>
          <w:highlight w:val="none"/>
        </w:rPr>
        <w:t>内容不完整、编排混乱导致</w:t>
      </w:r>
      <w:r>
        <w:rPr>
          <w:rFonts w:hint="eastAsia" w:ascii="宋体" w:hAnsi="宋体" w:eastAsia="宋体" w:cs="宋体"/>
          <w:b/>
          <w:color w:val="auto"/>
          <w:sz w:val="22"/>
          <w:szCs w:val="22"/>
          <w:highlight w:val="none"/>
          <w:lang w:eastAsia="zh-CN"/>
        </w:rPr>
        <w:t>投标文件</w:t>
      </w:r>
      <w:r>
        <w:rPr>
          <w:rFonts w:hint="eastAsia" w:ascii="宋体" w:hAnsi="宋体" w:eastAsia="宋体" w:cs="宋体"/>
          <w:b/>
          <w:color w:val="auto"/>
          <w:sz w:val="22"/>
          <w:szCs w:val="22"/>
          <w:highlight w:val="none"/>
        </w:rPr>
        <w:t>被误读、漏读或者查找不到相关内容的，是投标供应商的责任。</w:t>
      </w:r>
    </w:p>
    <w:p>
      <w:pPr>
        <w:numPr>
          <w:ilvl w:val="1"/>
          <w:numId w:val="7"/>
        </w:numPr>
        <w:tabs>
          <w:tab w:val="left" w:pos="567"/>
          <w:tab w:val="clear" w:pos="992"/>
        </w:tabs>
        <w:overflowPunct w:val="0"/>
        <w:spacing w:line="460" w:lineRule="exact"/>
        <w:ind w:left="567"/>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因字迹潦草或表达不清所引起的后果由投标供应商负责。</w:t>
      </w:r>
    </w:p>
    <w:p>
      <w:pPr>
        <w:numPr>
          <w:ilvl w:val="1"/>
          <w:numId w:val="7"/>
        </w:numPr>
        <w:tabs>
          <w:tab w:val="clear" w:pos="992"/>
        </w:tabs>
        <w:overflowPunct w:val="0"/>
        <w:spacing w:line="460" w:lineRule="exact"/>
        <w:ind w:left="540" w:hanging="54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投标供应商没有按照本章节 “</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由‘资格文件’、‘报价文件’和‘商务技术文件’三个部分组成”要求提供全部资料，或者没有仔细阅读采购文件，或者没有对采购文件在各方面的要求作出实质性响应是投标供应商的风险，由此造成的一切后果由投标供应商自行承担。</w:t>
      </w:r>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bookmarkStart w:id="105" w:name="_Toc239145354"/>
      <w:bookmarkStart w:id="106" w:name="_Toc251325214"/>
      <w:bookmarkStart w:id="107" w:name="_Toc221356887"/>
      <w:bookmarkStart w:id="108" w:name="_Toc221374626"/>
      <w:bookmarkStart w:id="109" w:name="_Toc252194852"/>
      <w:bookmarkStart w:id="110" w:name="_Toc241404202"/>
      <w:bookmarkStart w:id="111" w:name="_Toc12648"/>
      <w:bookmarkStart w:id="112" w:name="_Toc245722281"/>
      <w:bookmarkStart w:id="113" w:name="_Toc222114879"/>
      <w:bookmarkStart w:id="114" w:name="_Toc28415"/>
      <w:bookmarkStart w:id="115" w:name="_Toc221423619"/>
      <w:bookmarkStart w:id="116" w:name="_Toc246261265"/>
      <w:bookmarkStart w:id="117" w:name="_Toc223715998"/>
      <w:bookmarkStart w:id="118" w:name="_Toc245191314"/>
      <w:bookmarkStart w:id="119" w:name="_Toc221356951"/>
      <w:bookmarkStart w:id="120" w:name="_Toc251592737"/>
      <w:r>
        <w:rPr>
          <w:rFonts w:hint="eastAsia" w:ascii="宋体" w:hAnsi="宋体" w:eastAsia="宋体" w:cs="宋体"/>
          <w:color w:val="auto"/>
          <w:sz w:val="22"/>
          <w:szCs w:val="22"/>
          <w:highlight w:val="none"/>
          <w:lang w:val="en-US" w:eastAsia="zh-CN"/>
        </w:rPr>
        <w:t xml:space="preserve">15. </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的签章、形式及份数</w:t>
      </w:r>
    </w:p>
    <w:p>
      <w:pPr>
        <w:numPr>
          <w:ilvl w:val="1"/>
          <w:numId w:val="8"/>
        </w:numPr>
        <w:tabs>
          <w:tab w:val="left" w:pos="642"/>
          <w:tab w:val="clear" w:pos="992"/>
        </w:tabs>
        <w:overflowPunct w:val="0"/>
        <w:spacing w:line="460" w:lineRule="exact"/>
        <w:ind w:left="642" w:hanging="642"/>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的签章、形式及份数:详见《投标供应商须知前附表》规定。</w:t>
      </w:r>
    </w:p>
    <w:p>
      <w:pPr>
        <w:overflowPunct w:val="0"/>
        <w:spacing w:before="100" w:beforeAutospacing="1" w:after="100" w:afterAutospacing="1" w:line="440" w:lineRule="exact"/>
        <w:jc w:val="center"/>
        <w:outlineLvl w:val="0"/>
        <w:rPr>
          <w:rFonts w:hint="eastAsia" w:ascii="宋体" w:hAnsi="宋体" w:eastAsia="宋体" w:cs="宋体"/>
          <w:b/>
          <w:bCs/>
          <w:color w:val="auto"/>
          <w:sz w:val="26"/>
          <w:szCs w:val="26"/>
          <w:highlight w:val="none"/>
        </w:rPr>
      </w:pPr>
      <w:bookmarkStart w:id="121" w:name="_Toc75948401"/>
      <w:r>
        <w:rPr>
          <w:rFonts w:hint="eastAsia" w:ascii="宋体" w:hAnsi="宋体" w:eastAsia="宋体" w:cs="宋体"/>
          <w:b/>
          <w:bCs/>
          <w:color w:val="auto"/>
          <w:sz w:val="26"/>
          <w:szCs w:val="26"/>
          <w:highlight w:val="none"/>
        </w:rPr>
        <w:t xml:space="preserve">四、 </w:t>
      </w:r>
      <w:r>
        <w:rPr>
          <w:rFonts w:hint="eastAsia" w:ascii="宋体" w:hAnsi="宋体" w:eastAsia="宋体" w:cs="宋体"/>
          <w:b/>
          <w:bCs/>
          <w:color w:val="auto"/>
          <w:sz w:val="26"/>
          <w:szCs w:val="26"/>
          <w:highlight w:val="none"/>
          <w:lang w:eastAsia="zh-CN"/>
        </w:rPr>
        <w:t>投标文件</w:t>
      </w:r>
      <w:r>
        <w:rPr>
          <w:rFonts w:hint="eastAsia" w:ascii="宋体" w:hAnsi="宋体" w:eastAsia="宋体" w:cs="宋体"/>
          <w:b/>
          <w:bCs/>
          <w:color w:val="auto"/>
          <w:sz w:val="26"/>
          <w:szCs w:val="26"/>
          <w:highlight w:val="none"/>
        </w:rPr>
        <w:t>的递交</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16. </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的上传和递交</w:t>
      </w:r>
    </w:p>
    <w:p>
      <w:pPr>
        <w:numPr>
          <w:ilvl w:val="1"/>
          <w:numId w:val="9"/>
        </w:numPr>
        <w:tabs>
          <w:tab w:val="left" w:pos="535"/>
          <w:tab w:val="clear" w:pos="992"/>
        </w:tabs>
        <w:overflowPunct w:val="0"/>
        <w:spacing w:line="460" w:lineRule="exact"/>
        <w:ind w:left="535" w:hanging="53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的上传和递交：见《投标供应商须知前附表》。</w:t>
      </w:r>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17. </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的修改和撤回</w:t>
      </w:r>
    </w:p>
    <w:p>
      <w:pPr>
        <w:numPr>
          <w:ilvl w:val="1"/>
          <w:numId w:val="10"/>
        </w:numPr>
        <w:tabs>
          <w:tab w:val="left" w:pos="535"/>
          <w:tab w:val="clear" w:pos="992"/>
        </w:tabs>
        <w:overflowPunct w:val="0"/>
        <w:spacing w:line="460" w:lineRule="exact"/>
        <w:ind w:left="535" w:hanging="535"/>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lang w:eastAsia="zh-CN"/>
        </w:rPr>
        <w:t>投标文件</w:t>
      </w:r>
      <w:r>
        <w:rPr>
          <w:rFonts w:hint="eastAsia" w:ascii="宋体" w:hAnsi="宋体" w:eastAsia="宋体" w:cs="宋体"/>
          <w:b/>
          <w:color w:val="auto"/>
          <w:sz w:val="22"/>
          <w:szCs w:val="22"/>
          <w:highlight w:val="none"/>
        </w:rPr>
        <w:t>应当在投标截止时间前完成投标文件的上传、递交，并可以补充、修改或者撤回投标文件。补充或者修改投标文件的，应当先行撤回原文件，补充、修改后重新上传、递交。投标截止时间后递交的</w:t>
      </w:r>
      <w:r>
        <w:rPr>
          <w:rFonts w:hint="eastAsia" w:ascii="宋体" w:hAnsi="宋体" w:eastAsia="宋体" w:cs="宋体"/>
          <w:b/>
          <w:color w:val="auto"/>
          <w:sz w:val="22"/>
          <w:szCs w:val="22"/>
          <w:highlight w:val="none"/>
          <w:lang w:eastAsia="zh-CN"/>
        </w:rPr>
        <w:t>投标文件</w:t>
      </w:r>
      <w:r>
        <w:rPr>
          <w:rFonts w:hint="eastAsia" w:ascii="宋体" w:hAnsi="宋体" w:eastAsia="宋体" w:cs="宋体"/>
          <w:b/>
          <w:color w:val="auto"/>
          <w:sz w:val="22"/>
          <w:szCs w:val="22"/>
          <w:highlight w:val="none"/>
        </w:rPr>
        <w:t>，“政府采购云平台”将予以拒收。</w:t>
      </w:r>
    </w:p>
    <w:p>
      <w:pPr>
        <w:numPr>
          <w:ilvl w:val="1"/>
          <w:numId w:val="10"/>
        </w:numPr>
        <w:tabs>
          <w:tab w:val="left" w:pos="540"/>
          <w:tab w:val="clear" w:pos="992"/>
        </w:tabs>
        <w:overflowPunct w:val="0"/>
        <w:spacing w:line="460" w:lineRule="exact"/>
        <w:ind w:left="540" w:hanging="540"/>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从投标截止日期起至投标有效期满这段时间内，投标人不得撤回其投标文件，投标人强行撤回其投标文件的，应按采购预算金额的2%赔偿对采购组织机构造成的损失</w:t>
      </w:r>
      <w:r>
        <w:rPr>
          <w:rFonts w:hint="eastAsia" w:ascii="宋体" w:hAnsi="宋体" w:eastAsia="宋体" w:cs="宋体"/>
          <w:color w:val="auto"/>
          <w:sz w:val="22"/>
          <w:szCs w:val="22"/>
          <w:highlight w:val="none"/>
        </w:rPr>
        <w:t>。</w:t>
      </w:r>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18. </w:t>
      </w:r>
      <w:r>
        <w:rPr>
          <w:rFonts w:hint="eastAsia" w:ascii="宋体" w:hAnsi="宋体" w:eastAsia="宋体" w:cs="宋体"/>
          <w:color w:val="auto"/>
          <w:sz w:val="22"/>
          <w:szCs w:val="22"/>
          <w:highlight w:val="none"/>
        </w:rPr>
        <w:t>发生下列情况之一的</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将拒收：</w:t>
      </w:r>
    </w:p>
    <w:p>
      <w:pPr>
        <w:numPr>
          <w:ilvl w:val="1"/>
          <w:numId w:val="11"/>
        </w:numPr>
        <w:tabs>
          <w:tab w:val="left" w:pos="535"/>
          <w:tab w:val="clear" w:pos="992"/>
        </w:tabs>
        <w:overflowPunct w:val="0"/>
        <w:spacing w:line="460" w:lineRule="exact"/>
        <w:ind w:left="535" w:hanging="53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在投标截止时间以后</w:t>
      </w:r>
      <w:r>
        <w:rPr>
          <w:rFonts w:hint="eastAsia" w:ascii="宋体" w:hAnsi="宋体" w:eastAsia="宋体" w:cs="宋体"/>
          <w:b/>
          <w:bCs/>
          <w:color w:val="auto"/>
          <w:sz w:val="22"/>
          <w:szCs w:val="22"/>
          <w:highlight w:val="none"/>
          <w:lang w:val="en-US" w:eastAsia="zh-CN"/>
        </w:rPr>
        <w:t>未</w:t>
      </w:r>
      <w:r>
        <w:rPr>
          <w:rFonts w:hint="eastAsia" w:ascii="宋体" w:hAnsi="宋体" w:eastAsia="宋体" w:cs="宋体"/>
          <w:b/>
          <w:bCs/>
          <w:color w:val="auto"/>
          <w:sz w:val="22"/>
          <w:szCs w:val="22"/>
          <w:highlight w:val="none"/>
        </w:rPr>
        <w:t>上传</w:t>
      </w:r>
      <w:r>
        <w:rPr>
          <w:rFonts w:hint="eastAsia" w:ascii="宋体" w:hAnsi="宋体" w:eastAsia="宋体" w:cs="宋体"/>
          <w:b/>
          <w:bCs/>
          <w:color w:val="auto"/>
          <w:sz w:val="22"/>
          <w:szCs w:val="22"/>
          <w:highlight w:val="none"/>
          <w:lang w:val="en-US" w:eastAsia="zh-CN"/>
        </w:rPr>
        <w:t>成功</w:t>
      </w:r>
      <w:r>
        <w:rPr>
          <w:rFonts w:hint="eastAsia" w:ascii="宋体" w:hAnsi="宋体" w:eastAsia="宋体" w:cs="宋体"/>
          <w:b/>
          <w:bCs/>
          <w:color w:val="auto"/>
          <w:sz w:val="22"/>
          <w:szCs w:val="22"/>
          <w:highlight w:val="none"/>
        </w:rPr>
        <w:t>的</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lang w:val="en-US" w:eastAsia="zh-CN"/>
        </w:rPr>
        <w:t>；</w:t>
      </w:r>
    </w:p>
    <w:p>
      <w:pPr>
        <w:pStyle w:val="8"/>
        <w:ind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18.2</w:t>
      </w:r>
      <w:r>
        <w:rPr>
          <w:rFonts w:hint="eastAsia" w:ascii="宋体" w:hAnsi="宋体" w:eastAsia="宋体" w:cs="宋体"/>
          <w:b/>
          <w:bCs/>
          <w:color w:val="auto"/>
          <w:sz w:val="22"/>
          <w:szCs w:val="22"/>
          <w:highlight w:val="none"/>
        </w:rPr>
        <w:t>在投标截止时间以后</w:t>
      </w:r>
      <w:r>
        <w:rPr>
          <w:rFonts w:hint="eastAsia" w:ascii="宋体" w:hAnsi="宋体" w:eastAsia="宋体" w:cs="宋体"/>
          <w:b/>
          <w:bCs/>
          <w:color w:val="auto"/>
          <w:sz w:val="22"/>
          <w:szCs w:val="22"/>
          <w:highlight w:val="none"/>
          <w:lang w:val="en-US" w:eastAsia="zh-CN"/>
        </w:rPr>
        <w:t>递交的</w:t>
      </w:r>
      <w:r>
        <w:rPr>
          <w:rFonts w:hint="eastAsia" w:ascii="宋体" w:hAnsi="宋体" w:eastAsia="宋体" w:cs="宋体"/>
          <w:b/>
          <w:bCs/>
          <w:color w:val="auto"/>
          <w:sz w:val="22"/>
          <w:szCs w:val="22"/>
          <w:highlight w:val="none"/>
        </w:rPr>
        <w:t>备份</w:t>
      </w:r>
      <w:r>
        <w:rPr>
          <w:rFonts w:hint="eastAsia" w:ascii="宋体" w:hAnsi="宋体" w:eastAsia="宋体" w:cs="宋体"/>
          <w:b/>
          <w:bCs/>
          <w:color w:val="auto"/>
          <w:sz w:val="22"/>
          <w:szCs w:val="22"/>
          <w:highlight w:val="none"/>
          <w:lang w:eastAsia="zh-CN"/>
        </w:rPr>
        <w:t>投标文件。</w:t>
      </w:r>
    </w:p>
    <w:p>
      <w:pPr>
        <w:tabs>
          <w:tab w:val="left" w:pos="360"/>
          <w:tab w:val="left" w:pos="540"/>
          <w:tab w:val="left" w:pos="1260"/>
        </w:tabs>
        <w:overflowPunct w:val="0"/>
        <w:spacing w:before="100" w:beforeAutospacing="1" w:after="100" w:afterAutospacing="1" w:line="440" w:lineRule="exact"/>
        <w:ind w:left="919" w:hanging="919" w:hangingChars="352"/>
        <w:jc w:val="center"/>
        <w:outlineLvl w:val="0"/>
        <w:rPr>
          <w:rFonts w:hint="eastAsia" w:ascii="宋体" w:hAnsi="宋体" w:eastAsia="宋体" w:cs="宋体"/>
          <w:color w:val="auto"/>
          <w:sz w:val="22"/>
          <w:szCs w:val="22"/>
          <w:highlight w:val="none"/>
        </w:rPr>
      </w:pPr>
      <w:bookmarkStart w:id="122" w:name="_Toc221356888"/>
      <w:bookmarkStart w:id="123" w:name="_Toc221423620"/>
      <w:bookmarkStart w:id="124" w:name="_Toc75948402"/>
      <w:bookmarkStart w:id="125" w:name="_Toc221374627"/>
      <w:bookmarkStart w:id="126" w:name="_Toc7169"/>
      <w:bookmarkStart w:id="127" w:name="_Toc241404203"/>
      <w:bookmarkStart w:id="128" w:name="_Toc221356952"/>
      <w:bookmarkStart w:id="129" w:name="_Toc245722282"/>
      <w:bookmarkStart w:id="130" w:name="_Toc239145355"/>
      <w:bookmarkStart w:id="131" w:name="_Toc246261266"/>
      <w:bookmarkStart w:id="132" w:name="_Toc245191315"/>
      <w:bookmarkStart w:id="133" w:name="_Toc251592738"/>
      <w:bookmarkStart w:id="134" w:name="_Toc252194853"/>
      <w:bookmarkStart w:id="135" w:name="_Toc2634"/>
      <w:bookmarkStart w:id="136" w:name="_Toc251325215"/>
      <w:bookmarkStart w:id="137" w:name="_Toc222114880"/>
      <w:bookmarkStart w:id="138" w:name="_Toc223715999"/>
      <w:r>
        <w:rPr>
          <w:rFonts w:hint="eastAsia" w:ascii="宋体" w:hAnsi="宋体" w:eastAsia="宋体" w:cs="宋体"/>
          <w:b/>
          <w:bCs/>
          <w:color w:val="auto"/>
          <w:sz w:val="26"/>
          <w:szCs w:val="26"/>
          <w:highlight w:val="none"/>
        </w:rPr>
        <w:t>五、 开标和评标</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19. </w:t>
      </w:r>
      <w:r>
        <w:rPr>
          <w:rFonts w:hint="eastAsia" w:ascii="宋体" w:hAnsi="宋体" w:eastAsia="宋体" w:cs="宋体"/>
          <w:color w:val="auto"/>
          <w:sz w:val="22"/>
          <w:szCs w:val="22"/>
          <w:highlight w:val="none"/>
        </w:rPr>
        <w:t>评标委员会</w:t>
      </w:r>
    </w:p>
    <w:p>
      <w:pPr>
        <w:tabs>
          <w:tab w:val="left" w:pos="540"/>
          <w:tab w:val="left" w:pos="6986"/>
        </w:tabs>
        <w:overflowPunct w:val="0"/>
        <w:spacing w:line="460" w:lineRule="exact"/>
        <w:ind w:left="550" w:hanging="550" w:hangingChars="25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color w:val="auto"/>
          <w:kern w:val="0"/>
          <w:sz w:val="22"/>
          <w:szCs w:val="22"/>
          <w:highlight w:val="none"/>
        </w:rPr>
        <w:t>评标委员会成员按</w:t>
      </w:r>
      <w:r>
        <w:rPr>
          <w:rFonts w:hint="eastAsia" w:ascii="宋体" w:hAnsi="宋体" w:eastAsia="宋体" w:cs="宋体"/>
          <w:bCs/>
          <w:color w:val="auto"/>
          <w:sz w:val="22"/>
          <w:szCs w:val="22"/>
          <w:highlight w:val="none"/>
        </w:rPr>
        <w:t>《投标供应商须知前附表》规定组建。</w:t>
      </w:r>
      <w:r>
        <w:rPr>
          <w:rFonts w:hint="eastAsia" w:ascii="宋体" w:hAnsi="宋体" w:eastAsia="宋体" w:cs="宋体"/>
          <w:bCs/>
          <w:color w:val="auto"/>
          <w:sz w:val="22"/>
          <w:szCs w:val="22"/>
          <w:highlight w:val="none"/>
        </w:rPr>
        <w:tab/>
      </w:r>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20. </w:t>
      </w:r>
      <w:r>
        <w:rPr>
          <w:rFonts w:hint="eastAsia" w:ascii="宋体" w:hAnsi="宋体" w:eastAsia="宋体" w:cs="宋体"/>
          <w:color w:val="auto"/>
          <w:sz w:val="22"/>
          <w:szCs w:val="22"/>
          <w:highlight w:val="none"/>
        </w:rPr>
        <w:t>评标过程的保密性</w:t>
      </w:r>
    </w:p>
    <w:p>
      <w:pPr>
        <w:overflowPunct w:val="0"/>
        <w:spacing w:line="440" w:lineRule="exact"/>
        <w:ind w:left="540" w:leftChars="257"/>
        <w:rPr>
          <w:rFonts w:hint="eastAsia" w:ascii="宋体" w:hAnsi="宋体" w:eastAsia="宋体" w:cs="宋体"/>
          <w:b/>
          <w:bCs/>
          <w:color w:val="auto"/>
          <w:sz w:val="22"/>
          <w:szCs w:val="22"/>
          <w:highlight w:val="none"/>
          <w:u w:val="single"/>
        </w:rPr>
      </w:pPr>
      <w:r>
        <w:rPr>
          <w:rFonts w:hint="eastAsia" w:ascii="宋体" w:hAnsi="宋体" w:eastAsia="宋体" w:cs="宋体"/>
          <w:b/>
          <w:color w:val="auto"/>
          <w:sz w:val="22"/>
          <w:szCs w:val="22"/>
          <w:highlight w:val="none"/>
          <w:u w:val="single"/>
        </w:rPr>
        <w:t>▲</w:t>
      </w:r>
      <w:r>
        <w:rPr>
          <w:rFonts w:hint="eastAsia" w:ascii="宋体" w:hAnsi="宋体" w:eastAsia="宋体" w:cs="宋体"/>
          <w:b/>
          <w:bCs/>
          <w:color w:val="auto"/>
          <w:sz w:val="22"/>
          <w:szCs w:val="22"/>
          <w:highlight w:val="none"/>
          <w:u w:val="single"/>
        </w:rPr>
        <w:t>凡与评审有关的资料均不得向投标供应商及与评标无关人员透露。如果投标供应商在评标过程中试图向采购人、采购代理机构或评标委员会成员施加影响，其投标将被拒绝。</w:t>
      </w:r>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21. </w:t>
      </w:r>
      <w:r>
        <w:rPr>
          <w:rFonts w:hint="eastAsia" w:ascii="宋体" w:hAnsi="宋体" w:eastAsia="宋体" w:cs="宋体"/>
          <w:color w:val="auto"/>
          <w:sz w:val="22"/>
          <w:szCs w:val="22"/>
          <w:highlight w:val="none"/>
        </w:rPr>
        <w:t xml:space="preserve">开标、评标 </w:t>
      </w:r>
    </w:p>
    <w:p>
      <w:pPr>
        <w:numPr>
          <w:ilvl w:val="1"/>
          <w:numId w:val="12"/>
        </w:numPr>
        <w:tabs>
          <w:tab w:val="left" w:pos="535"/>
          <w:tab w:val="left" w:pos="992"/>
        </w:tabs>
        <w:overflowPunct w:val="0"/>
        <w:spacing w:line="440" w:lineRule="exact"/>
        <w:ind w:left="535" w:hanging="53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开标第一阶段</w:t>
      </w:r>
    </w:p>
    <w:p>
      <w:pPr>
        <w:tabs>
          <w:tab w:val="left" w:pos="426"/>
          <w:tab w:val="left" w:pos="992"/>
        </w:tabs>
        <w:overflowPunct w:val="0"/>
        <w:spacing w:line="440" w:lineRule="exact"/>
        <w:ind w:left="424" w:leftChars="202"/>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向各投标供应商发出电子加密投标文件【开始解密】通知，由供应商按采购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tabs>
          <w:tab w:val="left" w:pos="426"/>
          <w:tab w:val="left" w:pos="992"/>
        </w:tabs>
        <w:overflowPunct w:val="0"/>
        <w:spacing w:line="440" w:lineRule="exact"/>
        <w:ind w:left="424" w:leftChars="202"/>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w:t>
      </w:r>
      <w:r>
        <w:rPr>
          <w:rFonts w:hint="eastAsia" w:ascii="宋体" w:hAnsi="宋体" w:eastAsia="宋体" w:cs="宋体"/>
          <w:b/>
          <w:bCs/>
          <w:color w:val="auto"/>
          <w:kern w:val="0"/>
          <w:sz w:val="22"/>
          <w:szCs w:val="22"/>
          <w:highlight w:val="none"/>
        </w:rPr>
        <w:t>开标现场组织人员在政府采购云平台在线公布投标文件解密情况并组织签署《</w:t>
      </w:r>
      <w:r>
        <w:rPr>
          <w:rFonts w:hint="eastAsia" w:ascii="宋体" w:hAnsi="宋体" w:eastAsia="宋体" w:cs="宋体"/>
          <w:b/>
          <w:bCs/>
          <w:color w:val="auto"/>
          <w:kern w:val="0"/>
          <w:sz w:val="22"/>
          <w:szCs w:val="22"/>
          <w:highlight w:val="none"/>
          <w:lang w:val="en-US" w:eastAsia="zh-CN"/>
        </w:rPr>
        <w:t>国企</w:t>
      </w:r>
      <w:r>
        <w:rPr>
          <w:rFonts w:hint="eastAsia" w:ascii="宋体" w:hAnsi="宋体" w:eastAsia="宋体" w:cs="宋体"/>
          <w:b/>
          <w:bCs/>
          <w:color w:val="auto"/>
          <w:kern w:val="0"/>
          <w:sz w:val="22"/>
          <w:szCs w:val="22"/>
          <w:highlight w:val="none"/>
        </w:rPr>
        <w:t>活动现场确认声明书》（投标文件解密结束后，采购代理机构将以 E-mail电子邮件形式统一向所有成功解密投标文件的投标人送达“要求签署和提交《</w:t>
      </w:r>
      <w:r>
        <w:rPr>
          <w:rFonts w:hint="eastAsia" w:ascii="宋体" w:hAnsi="宋体" w:eastAsia="宋体" w:cs="宋体"/>
          <w:b/>
          <w:bCs/>
          <w:color w:val="auto"/>
          <w:kern w:val="0"/>
          <w:sz w:val="22"/>
          <w:szCs w:val="22"/>
          <w:highlight w:val="none"/>
          <w:lang w:val="en-US" w:eastAsia="zh-CN"/>
        </w:rPr>
        <w:t>国企</w:t>
      </w:r>
      <w:r>
        <w:rPr>
          <w:rFonts w:hint="eastAsia" w:ascii="宋体" w:hAnsi="宋体" w:eastAsia="宋体" w:cs="宋体"/>
          <w:b/>
          <w:bCs/>
          <w:color w:val="auto"/>
          <w:kern w:val="0"/>
          <w:sz w:val="22"/>
          <w:szCs w:val="22"/>
          <w:highlight w:val="none"/>
        </w:rPr>
        <w:t>采购活动现场确认声明书》的通知”。投标人</w:t>
      </w:r>
      <w:r>
        <w:rPr>
          <w:rFonts w:hint="eastAsia" w:ascii="宋体" w:hAnsi="宋体" w:eastAsia="宋体" w:cs="宋体"/>
          <w:b/>
          <w:bCs/>
          <w:color w:val="auto"/>
          <w:kern w:val="0"/>
          <w:sz w:val="22"/>
          <w:szCs w:val="22"/>
          <w:highlight w:val="none"/>
          <w:lang w:val="en-US" w:eastAsia="zh-CN"/>
        </w:rPr>
        <w:t>需</w:t>
      </w:r>
      <w:r>
        <w:rPr>
          <w:rFonts w:hint="eastAsia" w:ascii="宋体" w:hAnsi="宋体" w:eastAsia="宋体" w:cs="宋体"/>
          <w:b/>
          <w:bCs/>
          <w:color w:val="auto"/>
          <w:kern w:val="0"/>
          <w:sz w:val="22"/>
          <w:szCs w:val="22"/>
          <w:highlight w:val="none"/>
        </w:rPr>
        <w:t>在送达通知后</w:t>
      </w:r>
      <w:r>
        <w:rPr>
          <w:rFonts w:hint="eastAsia" w:ascii="宋体" w:hAnsi="宋体" w:eastAsia="宋体" w:cs="宋体"/>
          <w:b/>
          <w:bCs/>
          <w:color w:val="auto"/>
          <w:kern w:val="0"/>
          <w:sz w:val="22"/>
          <w:szCs w:val="22"/>
          <w:highlight w:val="none"/>
          <w:lang w:val="en-US" w:eastAsia="zh-CN"/>
        </w:rPr>
        <w:t>3</w:t>
      </w:r>
      <w:r>
        <w:rPr>
          <w:rFonts w:hint="eastAsia" w:ascii="宋体" w:hAnsi="宋体" w:eastAsia="宋体" w:cs="宋体"/>
          <w:b/>
          <w:bCs/>
          <w:color w:val="auto"/>
          <w:kern w:val="0"/>
          <w:sz w:val="22"/>
          <w:szCs w:val="22"/>
          <w:highlight w:val="none"/>
        </w:rPr>
        <w:t>0分钟内完成确认书的提交（扫描后发送至采购代理机构邮箱：53514766@qq.com）</w:t>
      </w:r>
      <w:r>
        <w:rPr>
          <w:rFonts w:hint="eastAsia" w:ascii="宋体" w:hAnsi="宋体" w:eastAsia="宋体" w:cs="宋体"/>
          <w:bCs/>
          <w:color w:val="auto"/>
          <w:sz w:val="22"/>
          <w:szCs w:val="22"/>
          <w:highlight w:val="none"/>
        </w:rPr>
        <w:t>；</w:t>
      </w:r>
    </w:p>
    <w:p>
      <w:pPr>
        <w:tabs>
          <w:tab w:val="left" w:pos="426"/>
          <w:tab w:val="left" w:pos="992"/>
        </w:tabs>
        <w:overflowPunct w:val="0"/>
        <w:spacing w:line="440" w:lineRule="exact"/>
        <w:ind w:left="424" w:leftChars="202"/>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（3）开启资格文件和商务技术文件，进入资格审查；</w:t>
      </w:r>
    </w:p>
    <w:p>
      <w:pPr>
        <w:tabs>
          <w:tab w:val="left" w:pos="426"/>
          <w:tab w:val="left" w:pos="992"/>
        </w:tabs>
        <w:overflowPunct w:val="0"/>
        <w:spacing w:line="440" w:lineRule="exact"/>
        <w:ind w:left="424" w:leftChars="202"/>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（4）资格审查通过的投标供应商的商务技术文件进入符合性审查、商务技术评审；</w:t>
      </w:r>
    </w:p>
    <w:p>
      <w:pPr>
        <w:tabs>
          <w:tab w:val="left" w:pos="426"/>
          <w:tab w:val="left" w:pos="992"/>
        </w:tabs>
        <w:overflowPunct w:val="0"/>
        <w:spacing w:line="440" w:lineRule="exact"/>
        <w:ind w:left="424" w:leftChars="202"/>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（5）第一阶段开标结束。</w:t>
      </w:r>
    </w:p>
    <w:p>
      <w:pPr>
        <w:tabs>
          <w:tab w:val="left" w:pos="426"/>
          <w:tab w:val="left" w:pos="992"/>
        </w:tabs>
        <w:overflowPunct w:val="0"/>
        <w:spacing w:line="440" w:lineRule="exact"/>
        <w:ind w:left="424" w:leftChars="202"/>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特别说明：如遇“政府采购云平台”电子化开标或评审程序调整的，按调整后程序执行。文件中规定所需发送给供应商相关资料的，</w:t>
      </w:r>
      <w:r>
        <w:rPr>
          <w:rFonts w:hint="eastAsia" w:ascii="宋体" w:hAnsi="宋体" w:eastAsia="宋体" w:cs="宋体"/>
          <w:bCs/>
          <w:color w:val="auto"/>
          <w:sz w:val="22"/>
          <w:szCs w:val="22"/>
          <w:highlight w:val="none"/>
          <w:lang w:val="en-US" w:eastAsia="zh-CN"/>
        </w:rPr>
        <w:t>可</w:t>
      </w:r>
      <w:r>
        <w:rPr>
          <w:rFonts w:hint="eastAsia" w:ascii="宋体" w:hAnsi="宋体" w:eastAsia="宋体" w:cs="宋体"/>
          <w:bCs/>
          <w:color w:val="auto"/>
          <w:sz w:val="22"/>
          <w:szCs w:val="22"/>
          <w:highlight w:val="none"/>
        </w:rPr>
        <w:t>通过政采云</w:t>
      </w:r>
      <w:r>
        <w:rPr>
          <w:rFonts w:hint="eastAsia" w:ascii="宋体" w:hAnsi="宋体" w:eastAsia="宋体" w:cs="宋体"/>
          <w:bCs/>
          <w:color w:val="auto"/>
          <w:sz w:val="22"/>
          <w:szCs w:val="22"/>
          <w:highlight w:val="none"/>
          <w:lang w:val="en-US" w:eastAsia="zh-CN"/>
        </w:rPr>
        <w:t>平台或通过邮件、传真等其他有效形式</w:t>
      </w:r>
      <w:r>
        <w:rPr>
          <w:rFonts w:hint="eastAsia" w:ascii="宋体" w:hAnsi="宋体" w:eastAsia="宋体" w:cs="宋体"/>
          <w:bCs/>
          <w:color w:val="auto"/>
          <w:sz w:val="22"/>
          <w:szCs w:val="22"/>
          <w:highlight w:val="none"/>
        </w:rPr>
        <w:t>以询标函形式提供。</w:t>
      </w:r>
    </w:p>
    <w:p>
      <w:pPr>
        <w:numPr>
          <w:ilvl w:val="1"/>
          <w:numId w:val="12"/>
        </w:numPr>
        <w:tabs>
          <w:tab w:val="left" w:pos="535"/>
          <w:tab w:val="left" w:pos="992"/>
        </w:tabs>
        <w:overflowPunct w:val="0"/>
        <w:spacing w:line="440" w:lineRule="exact"/>
        <w:ind w:left="535" w:hanging="53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的初审。初审分为资格审查和符合性审查。</w:t>
      </w:r>
    </w:p>
    <w:p>
      <w:pPr>
        <w:tabs>
          <w:tab w:val="left" w:pos="860"/>
          <w:tab w:val="left" w:pos="1070"/>
          <w:tab w:val="left" w:pos="1284"/>
        </w:tabs>
        <w:overflowPunct w:val="0"/>
        <w:spacing w:line="440" w:lineRule="exact"/>
        <w:ind w:left="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（1）资格审查。依据法律、法规和采购文件的规定，评标委员会对各投标供应商进行资格审查，资格审查内容包括但不仅限于</w:t>
      </w: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所提交证明材料是否能证明符合本项目对合格投标供应商的实质性要求。通过资格审查视作具备投标资格，</w:t>
      </w:r>
      <w:r>
        <w:rPr>
          <w:rFonts w:hint="eastAsia" w:ascii="宋体" w:hAnsi="宋体" w:eastAsia="宋体" w:cs="宋体"/>
          <w:color w:val="auto"/>
          <w:spacing w:val="-3"/>
          <w:sz w:val="22"/>
          <w:szCs w:val="22"/>
          <w:highlight w:val="none"/>
        </w:rPr>
        <w:t>审查不合格的</w:t>
      </w:r>
      <w:r>
        <w:rPr>
          <w:rFonts w:hint="eastAsia" w:ascii="宋体" w:hAnsi="宋体" w:eastAsia="宋体" w:cs="宋体"/>
          <w:color w:val="auto"/>
          <w:spacing w:val="-3"/>
          <w:sz w:val="22"/>
          <w:szCs w:val="22"/>
          <w:highlight w:val="none"/>
          <w:lang w:eastAsia="zh-CN"/>
        </w:rPr>
        <w:t>投标文件</w:t>
      </w:r>
      <w:r>
        <w:rPr>
          <w:rFonts w:hint="eastAsia" w:ascii="宋体" w:hAnsi="宋体" w:eastAsia="宋体" w:cs="宋体"/>
          <w:color w:val="auto"/>
          <w:spacing w:val="-3"/>
          <w:sz w:val="22"/>
          <w:szCs w:val="22"/>
          <w:highlight w:val="none"/>
        </w:rPr>
        <w:t>将不进入后续详细评审</w:t>
      </w:r>
      <w:r>
        <w:rPr>
          <w:rFonts w:hint="eastAsia" w:ascii="宋体" w:hAnsi="宋体" w:eastAsia="宋体" w:cs="宋体"/>
          <w:bCs/>
          <w:color w:val="auto"/>
          <w:sz w:val="22"/>
          <w:szCs w:val="22"/>
          <w:highlight w:val="none"/>
        </w:rPr>
        <w:t>。</w:t>
      </w:r>
    </w:p>
    <w:p>
      <w:pPr>
        <w:tabs>
          <w:tab w:val="left" w:pos="860"/>
          <w:tab w:val="left" w:pos="1070"/>
          <w:tab w:val="left" w:pos="1284"/>
        </w:tabs>
        <w:overflowPunct w:val="0"/>
        <w:spacing w:line="440" w:lineRule="exact"/>
        <w:ind w:left="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（2）符合性审查。依据采购文件的规定，从</w:t>
      </w: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中的有效性、完整性和对采购文件的响应程度进行审查，以确定是否对采购文件的实质性要求作出响应。</w:t>
      </w:r>
    </w:p>
    <w:p>
      <w:pPr>
        <w:numPr>
          <w:ilvl w:val="1"/>
          <w:numId w:val="12"/>
        </w:numPr>
        <w:tabs>
          <w:tab w:val="left" w:pos="540"/>
          <w:tab w:val="left" w:pos="992"/>
        </w:tabs>
        <w:overflowPunct w:val="0"/>
        <w:spacing w:line="440" w:lineRule="exact"/>
        <w:ind w:left="540" w:hanging="54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u w:val="single"/>
        </w:rPr>
        <w:t>▲在对各投标供应商的</w:t>
      </w:r>
      <w:r>
        <w:rPr>
          <w:rFonts w:hint="eastAsia" w:ascii="宋体" w:hAnsi="宋体" w:eastAsia="宋体" w:cs="宋体"/>
          <w:b/>
          <w:bCs/>
          <w:color w:val="auto"/>
          <w:sz w:val="22"/>
          <w:szCs w:val="22"/>
          <w:highlight w:val="none"/>
          <w:u w:val="single"/>
          <w:lang w:eastAsia="zh-CN"/>
        </w:rPr>
        <w:t>投标文件</w:t>
      </w:r>
      <w:r>
        <w:rPr>
          <w:rFonts w:hint="eastAsia" w:ascii="宋体" w:hAnsi="宋体" w:eastAsia="宋体" w:cs="宋体"/>
          <w:b/>
          <w:bCs/>
          <w:color w:val="auto"/>
          <w:sz w:val="22"/>
          <w:szCs w:val="22"/>
          <w:highlight w:val="none"/>
          <w:u w:val="single"/>
        </w:rPr>
        <w:t>进行综合评审时，</w:t>
      </w:r>
      <w:r>
        <w:rPr>
          <w:rFonts w:hint="eastAsia" w:ascii="宋体" w:hAnsi="宋体" w:eastAsia="宋体" w:cs="宋体"/>
          <w:b/>
          <w:bCs/>
          <w:color w:val="auto"/>
          <w:sz w:val="22"/>
          <w:szCs w:val="22"/>
          <w:highlight w:val="none"/>
          <w:u w:val="single"/>
          <w:lang w:eastAsia="zh-CN"/>
        </w:rPr>
        <w:t>投标文件</w:t>
      </w:r>
      <w:r>
        <w:rPr>
          <w:rFonts w:hint="eastAsia" w:ascii="宋体" w:hAnsi="宋体" w:eastAsia="宋体" w:cs="宋体"/>
          <w:b/>
          <w:bCs/>
          <w:color w:val="auto"/>
          <w:sz w:val="22"/>
          <w:szCs w:val="22"/>
          <w:highlight w:val="none"/>
          <w:u w:val="single"/>
        </w:rPr>
        <w:t>有下列情况之一的，经评标委员会认定后按无效标处理</w:t>
      </w:r>
      <w:r>
        <w:rPr>
          <w:rFonts w:hint="eastAsia" w:ascii="宋体" w:hAnsi="宋体" w:eastAsia="宋体" w:cs="宋体"/>
          <w:b/>
          <w:bCs/>
          <w:color w:val="auto"/>
          <w:sz w:val="22"/>
          <w:szCs w:val="22"/>
          <w:highlight w:val="none"/>
        </w:rPr>
        <w:t>：</w:t>
      </w:r>
    </w:p>
    <w:p>
      <w:pPr>
        <w:numPr>
          <w:ilvl w:val="0"/>
          <w:numId w:val="13"/>
        </w:numPr>
        <w:tabs>
          <w:tab w:val="left" w:pos="860"/>
          <w:tab w:val="left" w:pos="1070"/>
          <w:tab w:val="left" w:pos="1284"/>
        </w:tabs>
        <w:overflowPunct w:val="0"/>
        <w:spacing w:line="440" w:lineRule="exact"/>
        <w:rPr>
          <w:rFonts w:hint="eastAsia" w:ascii="宋体" w:hAnsi="宋体" w:eastAsia="宋体" w:cs="宋体"/>
          <w:b/>
          <w:color w:val="auto"/>
          <w:sz w:val="22"/>
          <w:szCs w:val="22"/>
          <w:highlight w:val="none"/>
          <w:u w:val="single" w:color="auto"/>
        </w:rPr>
      </w:pPr>
      <w:bookmarkStart w:id="139" w:name="_Hlk4057614"/>
      <w:r>
        <w:rPr>
          <w:rFonts w:hint="eastAsia" w:ascii="宋体" w:hAnsi="宋体" w:eastAsia="宋体" w:cs="宋体"/>
          <w:b/>
          <w:color w:val="auto"/>
          <w:sz w:val="22"/>
          <w:szCs w:val="22"/>
          <w:highlight w:val="none"/>
          <w:u w:val="single" w:color="auto"/>
        </w:rPr>
        <w:t>投标供应商未按采购文件的要求</w:t>
      </w:r>
      <w:r>
        <w:rPr>
          <w:rFonts w:hint="eastAsia" w:ascii="宋体" w:hAnsi="宋体" w:eastAsia="宋体" w:cs="宋体"/>
          <w:b/>
          <w:color w:val="auto"/>
          <w:sz w:val="22"/>
          <w:szCs w:val="22"/>
          <w:highlight w:val="none"/>
          <w:u w:val="single" w:color="auto"/>
          <w:lang w:eastAsia="zh-CN"/>
        </w:rPr>
        <w:t>（</w:t>
      </w:r>
      <w:r>
        <w:rPr>
          <w:rFonts w:hint="eastAsia" w:ascii="宋体" w:hAnsi="宋体" w:eastAsia="宋体" w:cs="宋体"/>
          <w:b/>
          <w:color w:val="auto"/>
          <w:sz w:val="22"/>
          <w:szCs w:val="22"/>
          <w:highlight w:val="none"/>
          <w:u w:val="single" w:color="auto"/>
          <w:lang w:val="en-US" w:eastAsia="zh-CN"/>
        </w:rPr>
        <w:t>非实质性条款除外</w:t>
      </w:r>
      <w:r>
        <w:rPr>
          <w:rFonts w:hint="eastAsia" w:ascii="宋体" w:hAnsi="宋体" w:eastAsia="宋体" w:cs="宋体"/>
          <w:b/>
          <w:color w:val="auto"/>
          <w:sz w:val="22"/>
          <w:szCs w:val="22"/>
          <w:highlight w:val="none"/>
          <w:u w:val="single" w:color="auto"/>
          <w:lang w:eastAsia="zh-CN"/>
        </w:rPr>
        <w:t>）</w:t>
      </w:r>
      <w:r>
        <w:rPr>
          <w:rFonts w:hint="eastAsia" w:ascii="宋体" w:hAnsi="宋体" w:eastAsia="宋体" w:cs="宋体"/>
          <w:b/>
          <w:color w:val="auto"/>
          <w:sz w:val="22"/>
          <w:szCs w:val="22"/>
          <w:highlight w:val="none"/>
          <w:u w:val="single" w:color="auto"/>
        </w:rPr>
        <w:t>加盖</w:t>
      </w:r>
      <w:r>
        <w:rPr>
          <w:rFonts w:hint="eastAsia" w:ascii="宋体" w:hAnsi="宋体" w:eastAsia="宋体" w:cs="宋体"/>
          <w:b/>
          <w:color w:val="auto"/>
          <w:sz w:val="22"/>
          <w:szCs w:val="22"/>
          <w:highlight w:val="none"/>
          <w:u w:val="single" w:color="auto"/>
          <w:lang w:eastAsia="zh-CN"/>
        </w:rPr>
        <w:t>投标供应商公章</w:t>
      </w:r>
      <w:r>
        <w:rPr>
          <w:rFonts w:hint="eastAsia" w:ascii="宋体" w:hAnsi="宋体" w:eastAsia="宋体" w:cs="宋体"/>
          <w:b/>
          <w:color w:val="auto"/>
          <w:sz w:val="22"/>
          <w:szCs w:val="22"/>
          <w:highlight w:val="none"/>
          <w:u w:val="single" w:color="auto"/>
        </w:rPr>
        <w:t>，或投标供应商的法定代表人（或单位负责人）</w:t>
      </w:r>
      <w:r>
        <w:rPr>
          <w:rFonts w:hint="eastAsia" w:ascii="宋体" w:hAnsi="宋体" w:eastAsia="宋体" w:cs="宋体"/>
          <w:b/>
          <w:color w:val="auto"/>
          <w:sz w:val="22"/>
          <w:szCs w:val="22"/>
          <w:highlight w:val="none"/>
          <w:u w:val="single" w:color="auto"/>
          <w:lang w:val="en-US" w:eastAsia="zh-CN"/>
        </w:rPr>
        <w:t>或</w:t>
      </w:r>
      <w:r>
        <w:rPr>
          <w:rFonts w:hint="eastAsia" w:ascii="宋体" w:hAnsi="宋体" w:eastAsia="宋体" w:cs="宋体"/>
          <w:b/>
          <w:color w:val="auto"/>
          <w:sz w:val="22"/>
          <w:szCs w:val="22"/>
          <w:highlight w:val="none"/>
          <w:u w:val="single" w:color="auto"/>
        </w:rPr>
        <w:t>其授权代表未按采购文件要求签字或盖章的，或授权代表无有效的委托授权书的；</w:t>
      </w:r>
    </w:p>
    <w:p>
      <w:pPr>
        <w:numPr>
          <w:ilvl w:val="0"/>
          <w:numId w:val="13"/>
        </w:numPr>
        <w:tabs>
          <w:tab w:val="left" w:pos="860"/>
          <w:tab w:val="left" w:pos="1070"/>
          <w:tab w:val="left" w:pos="1284"/>
        </w:tabs>
        <w:overflowPunct w:val="0"/>
        <w:spacing w:line="440" w:lineRule="exact"/>
        <w:rPr>
          <w:rFonts w:hint="eastAsia" w:ascii="宋体" w:hAnsi="宋体" w:eastAsia="宋体" w:cs="宋体"/>
          <w:b/>
          <w:color w:val="auto"/>
          <w:sz w:val="22"/>
          <w:szCs w:val="22"/>
          <w:highlight w:val="none"/>
          <w:u w:val="single" w:color="auto"/>
        </w:rPr>
      </w:pPr>
      <w:r>
        <w:rPr>
          <w:rFonts w:hint="eastAsia" w:ascii="宋体" w:hAnsi="宋体" w:eastAsia="宋体" w:cs="宋体"/>
          <w:b/>
          <w:color w:val="auto"/>
          <w:sz w:val="22"/>
          <w:szCs w:val="22"/>
          <w:highlight w:val="none"/>
          <w:u w:val="single" w:color="auto"/>
        </w:rPr>
        <w:t xml:space="preserve">明显不符合采购文件中主要技术规格、商务技术标准或服务要求或采购文件中标注“▲”且加下划线的实质性要求和条件，存在负偏离的； </w:t>
      </w:r>
    </w:p>
    <w:p>
      <w:pPr>
        <w:numPr>
          <w:ilvl w:val="0"/>
          <w:numId w:val="13"/>
        </w:numPr>
        <w:tabs>
          <w:tab w:val="left" w:pos="860"/>
          <w:tab w:val="left" w:pos="1070"/>
          <w:tab w:val="left" w:pos="1284"/>
        </w:tabs>
        <w:overflowPunct w:val="0"/>
        <w:spacing w:line="440" w:lineRule="exact"/>
        <w:rPr>
          <w:rFonts w:hint="eastAsia" w:ascii="宋体" w:hAnsi="宋体" w:eastAsia="宋体" w:cs="宋体"/>
          <w:b/>
          <w:color w:val="auto"/>
          <w:sz w:val="22"/>
          <w:szCs w:val="22"/>
          <w:highlight w:val="none"/>
          <w:u w:val="single" w:color="auto"/>
        </w:rPr>
      </w:pPr>
      <w:r>
        <w:rPr>
          <w:rFonts w:hint="eastAsia" w:ascii="宋体" w:hAnsi="宋体" w:eastAsia="宋体" w:cs="宋体"/>
          <w:b/>
          <w:color w:val="auto"/>
          <w:sz w:val="22"/>
          <w:szCs w:val="22"/>
          <w:highlight w:val="none"/>
          <w:u w:val="single" w:color="auto"/>
        </w:rPr>
        <w:t>投标报价超过采购预算或最高限价或评标委员会认为投标供应商的报价明显低于其他通过符合性审查投标供应商的报价且无法证明报价的合理性；</w:t>
      </w:r>
    </w:p>
    <w:p>
      <w:pPr>
        <w:numPr>
          <w:ilvl w:val="0"/>
          <w:numId w:val="13"/>
        </w:numPr>
        <w:tabs>
          <w:tab w:val="left" w:pos="860"/>
          <w:tab w:val="left" w:pos="1070"/>
          <w:tab w:val="left" w:pos="1284"/>
        </w:tabs>
        <w:overflowPunct w:val="0"/>
        <w:spacing w:line="440" w:lineRule="exact"/>
        <w:rPr>
          <w:rFonts w:hint="eastAsia" w:ascii="宋体" w:hAnsi="宋体" w:eastAsia="宋体" w:cs="宋体"/>
          <w:b/>
          <w:color w:val="auto"/>
          <w:sz w:val="22"/>
          <w:szCs w:val="22"/>
          <w:highlight w:val="none"/>
          <w:u w:val="single" w:color="auto"/>
        </w:rPr>
      </w:pPr>
      <w:r>
        <w:rPr>
          <w:rFonts w:hint="eastAsia" w:ascii="宋体" w:hAnsi="宋体" w:eastAsia="宋体" w:cs="宋体"/>
          <w:b/>
          <w:color w:val="auto"/>
          <w:sz w:val="22"/>
          <w:szCs w:val="22"/>
          <w:highlight w:val="none"/>
          <w:u w:val="single" w:color="auto"/>
          <w:lang w:eastAsia="zh-CN"/>
        </w:rPr>
        <w:t>投标文件</w:t>
      </w:r>
      <w:r>
        <w:rPr>
          <w:rFonts w:hint="eastAsia" w:ascii="宋体" w:hAnsi="宋体" w:eastAsia="宋体" w:cs="宋体"/>
          <w:b/>
          <w:color w:val="auto"/>
          <w:sz w:val="22"/>
          <w:szCs w:val="22"/>
          <w:highlight w:val="none"/>
          <w:u w:val="single" w:color="auto"/>
        </w:rPr>
        <w:t>附有采购人不能接受的条件；</w:t>
      </w:r>
    </w:p>
    <w:p>
      <w:pPr>
        <w:numPr>
          <w:ilvl w:val="0"/>
          <w:numId w:val="13"/>
        </w:numPr>
        <w:tabs>
          <w:tab w:val="left" w:pos="860"/>
          <w:tab w:val="left" w:pos="1070"/>
          <w:tab w:val="left" w:pos="1284"/>
        </w:tabs>
        <w:overflowPunct w:val="0"/>
        <w:spacing w:line="440" w:lineRule="exact"/>
        <w:rPr>
          <w:rFonts w:hint="eastAsia" w:ascii="宋体" w:hAnsi="宋体" w:eastAsia="宋体" w:cs="宋体"/>
          <w:b/>
          <w:color w:val="auto"/>
          <w:sz w:val="22"/>
          <w:szCs w:val="22"/>
          <w:highlight w:val="none"/>
          <w:u w:val="single" w:color="auto"/>
        </w:rPr>
      </w:pPr>
      <w:r>
        <w:rPr>
          <w:rFonts w:hint="eastAsia" w:ascii="宋体" w:hAnsi="宋体" w:eastAsia="宋体" w:cs="宋体"/>
          <w:b/>
          <w:color w:val="auto"/>
          <w:sz w:val="22"/>
          <w:szCs w:val="22"/>
          <w:highlight w:val="none"/>
          <w:u w:val="single" w:color="auto"/>
        </w:rPr>
        <w:t>修改《报价一览表》中的主要内容的；</w:t>
      </w:r>
    </w:p>
    <w:p>
      <w:pPr>
        <w:numPr>
          <w:ilvl w:val="0"/>
          <w:numId w:val="13"/>
        </w:numPr>
        <w:tabs>
          <w:tab w:val="left" w:pos="860"/>
          <w:tab w:val="left" w:pos="1070"/>
          <w:tab w:val="left" w:pos="1284"/>
        </w:tabs>
        <w:overflowPunct w:val="0"/>
        <w:spacing w:line="440" w:lineRule="exact"/>
        <w:rPr>
          <w:rFonts w:hint="eastAsia" w:ascii="宋体" w:hAnsi="宋体" w:eastAsia="宋体" w:cs="宋体"/>
          <w:b/>
          <w:color w:val="auto"/>
          <w:sz w:val="22"/>
          <w:szCs w:val="22"/>
          <w:highlight w:val="none"/>
          <w:u w:val="single" w:color="auto"/>
        </w:rPr>
      </w:pPr>
      <w:r>
        <w:rPr>
          <w:rFonts w:hint="eastAsia" w:ascii="宋体" w:hAnsi="宋体" w:eastAsia="宋体" w:cs="宋体"/>
          <w:b/>
          <w:color w:val="auto"/>
          <w:sz w:val="22"/>
          <w:szCs w:val="22"/>
          <w:highlight w:val="none"/>
          <w:u w:val="single" w:color="auto"/>
          <w:lang w:eastAsia="zh-CN"/>
        </w:rPr>
        <w:t>投标文件</w:t>
      </w:r>
      <w:r>
        <w:rPr>
          <w:rFonts w:hint="eastAsia" w:ascii="宋体" w:hAnsi="宋体" w:eastAsia="宋体" w:cs="宋体"/>
          <w:b/>
          <w:color w:val="auto"/>
          <w:sz w:val="22"/>
          <w:szCs w:val="22"/>
          <w:highlight w:val="none"/>
          <w:u w:val="single" w:color="auto"/>
        </w:rPr>
        <w:t>未按采购文件要求编制或关键字迹模糊无法辨认的；</w:t>
      </w:r>
    </w:p>
    <w:p>
      <w:pPr>
        <w:numPr>
          <w:ilvl w:val="0"/>
          <w:numId w:val="13"/>
        </w:numPr>
        <w:tabs>
          <w:tab w:val="left" w:pos="860"/>
          <w:tab w:val="left" w:pos="1070"/>
          <w:tab w:val="left" w:pos="1284"/>
        </w:tabs>
        <w:overflowPunct w:val="0"/>
        <w:spacing w:line="440" w:lineRule="exact"/>
        <w:rPr>
          <w:rFonts w:hint="eastAsia" w:ascii="宋体" w:hAnsi="宋体" w:eastAsia="宋体" w:cs="宋体"/>
          <w:b/>
          <w:color w:val="auto"/>
          <w:sz w:val="22"/>
          <w:szCs w:val="22"/>
          <w:highlight w:val="none"/>
          <w:u w:val="single" w:color="auto"/>
        </w:rPr>
      </w:pPr>
      <w:r>
        <w:rPr>
          <w:rFonts w:hint="eastAsia" w:ascii="宋体" w:hAnsi="宋体" w:eastAsia="宋体" w:cs="宋体"/>
          <w:b/>
          <w:color w:val="auto"/>
          <w:sz w:val="22"/>
          <w:szCs w:val="22"/>
          <w:highlight w:val="none"/>
          <w:u w:val="single" w:color="auto"/>
        </w:rPr>
        <w:t>存在不符合法律、法规和采购文件中规定的其他实质性要求的。</w:t>
      </w:r>
    </w:p>
    <w:p>
      <w:pPr>
        <w:tabs>
          <w:tab w:val="left" w:pos="860"/>
          <w:tab w:val="left" w:pos="1070"/>
          <w:tab w:val="left" w:pos="1284"/>
        </w:tabs>
        <w:overflowPunct w:val="0"/>
        <w:spacing w:line="440" w:lineRule="exact"/>
        <w:ind w:left="420"/>
        <w:rPr>
          <w:rFonts w:hint="eastAsia" w:ascii="宋体" w:hAnsi="宋体" w:eastAsia="宋体" w:cs="宋体"/>
          <w:b/>
          <w:color w:val="auto"/>
          <w:sz w:val="22"/>
          <w:szCs w:val="22"/>
          <w:highlight w:val="none"/>
          <w:u w:val="single" w:color="auto"/>
        </w:rPr>
      </w:pPr>
      <w:r>
        <w:rPr>
          <w:rFonts w:hint="eastAsia" w:ascii="宋体" w:hAnsi="宋体" w:eastAsia="宋体" w:cs="宋体"/>
          <w:b/>
          <w:color w:val="auto"/>
          <w:sz w:val="22"/>
          <w:szCs w:val="22"/>
          <w:highlight w:val="none"/>
          <w:u w:val="single" w:color="auto"/>
        </w:rPr>
        <w:t>如有争议，评标委员会投票表决，按少数服从多数原则认定。</w:t>
      </w:r>
    </w:p>
    <w:bookmarkEnd w:id="139"/>
    <w:p>
      <w:pPr>
        <w:numPr>
          <w:ilvl w:val="1"/>
          <w:numId w:val="12"/>
        </w:numPr>
        <w:tabs>
          <w:tab w:val="left" w:pos="540"/>
          <w:tab w:val="left" w:pos="992"/>
        </w:tabs>
        <w:overflowPunct w:val="0"/>
        <w:spacing w:line="440" w:lineRule="exact"/>
        <w:ind w:left="540" w:hanging="54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开标第二阶段</w:t>
      </w:r>
    </w:p>
    <w:p>
      <w:pPr>
        <w:tabs>
          <w:tab w:val="left" w:pos="540"/>
          <w:tab w:val="left" w:pos="992"/>
        </w:tabs>
        <w:overflowPunct w:val="0"/>
        <w:spacing w:line="440" w:lineRule="exact"/>
        <w:ind w:left="424" w:leftChars="20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tabs>
          <w:tab w:val="left" w:pos="540"/>
          <w:tab w:val="left" w:pos="992"/>
        </w:tabs>
        <w:overflowPunct w:val="0"/>
        <w:spacing w:line="440" w:lineRule="exact"/>
        <w:ind w:left="424" w:leftChars="20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（2）开启报价文件，公布符合性审查、商务技术评审有效的投标供应商《报价文件》报价一览表等有关内容，同时当场制作开标记录表。由评标委员会对报价的合理性、准确性等进行审查核实。</w:t>
      </w:r>
    </w:p>
    <w:p>
      <w:pPr>
        <w:tabs>
          <w:tab w:val="left" w:pos="540"/>
          <w:tab w:val="left" w:pos="992"/>
        </w:tabs>
        <w:overflowPunct w:val="0"/>
        <w:spacing w:line="440" w:lineRule="exact"/>
        <w:ind w:left="424" w:leftChars="20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（3）评审结束后，公布中标（成交）候选供应商名单，及采购人最终确定中标或成交供应商名单的时间和公告方式等。</w:t>
      </w:r>
    </w:p>
    <w:p>
      <w:pPr>
        <w:numPr>
          <w:ilvl w:val="1"/>
          <w:numId w:val="12"/>
        </w:numPr>
        <w:tabs>
          <w:tab w:val="left" w:pos="540"/>
          <w:tab w:val="left" w:pos="992"/>
        </w:tabs>
        <w:overflowPunct w:val="0"/>
        <w:spacing w:line="440" w:lineRule="exact"/>
        <w:ind w:left="540" w:hanging="540"/>
        <w:rPr>
          <w:rFonts w:hint="eastAsia" w:ascii="宋体" w:hAnsi="宋体" w:eastAsia="宋体" w:cs="宋体"/>
          <w:b/>
          <w:bCs/>
          <w:color w:val="auto"/>
          <w:sz w:val="22"/>
          <w:szCs w:val="22"/>
          <w:highlight w:val="none"/>
        </w:rPr>
      </w:pPr>
      <w:r>
        <w:rPr>
          <w:rFonts w:hint="eastAsia" w:ascii="宋体" w:hAnsi="宋体" w:eastAsia="宋体" w:cs="宋体"/>
          <w:bCs/>
          <w:color w:val="auto"/>
          <w:sz w:val="22"/>
          <w:szCs w:val="22"/>
          <w:highlight w:val="none"/>
        </w:rPr>
        <w:t>在详细评标之前，评标委员会要审查每份</w:t>
      </w: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是否实质上响应了采购文件的要求。实质上响应的投标应该是与采购文件要求的全部条款、条件和规格基本相符，没有重大偏离。</w:t>
      </w:r>
      <w:r>
        <w:rPr>
          <w:rFonts w:hint="eastAsia" w:ascii="宋体" w:hAnsi="宋体" w:eastAsia="宋体" w:cs="宋体"/>
          <w:b/>
          <w:bCs/>
          <w:color w:val="auto"/>
          <w:sz w:val="22"/>
          <w:szCs w:val="22"/>
          <w:highlight w:val="none"/>
        </w:rPr>
        <w:t>评标委员会决定投标的响应性只根据</w:t>
      </w:r>
      <w:r>
        <w:rPr>
          <w:rFonts w:hint="eastAsia" w:ascii="宋体" w:hAnsi="宋体" w:eastAsia="宋体" w:cs="宋体"/>
          <w:b/>
          <w:bCs/>
          <w:color w:val="auto"/>
          <w:sz w:val="22"/>
          <w:szCs w:val="22"/>
          <w:highlight w:val="none"/>
          <w:lang w:eastAsia="zh-CN"/>
        </w:rPr>
        <w:t>投标文件</w:t>
      </w:r>
      <w:r>
        <w:rPr>
          <w:rFonts w:hint="eastAsia" w:ascii="宋体" w:hAnsi="宋体" w:eastAsia="宋体" w:cs="宋体"/>
          <w:b/>
          <w:bCs/>
          <w:color w:val="auto"/>
          <w:sz w:val="22"/>
          <w:szCs w:val="22"/>
          <w:highlight w:val="none"/>
        </w:rPr>
        <w:t>本身的内容，而不寻求外部的证据。</w:t>
      </w:r>
    </w:p>
    <w:p>
      <w:pPr>
        <w:overflowPunct w:val="0"/>
        <w:spacing w:line="360" w:lineRule="auto"/>
        <w:ind w:firstLine="440" w:firstLineChars="200"/>
        <w:rPr>
          <w:rFonts w:hint="eastAsia" w:ascii="宋体" w:hAnsi="宋体" w:eastAsia="宋体" w:cs="宋体"/>
          <w:b/>
          <w:bCs/>
          <w:color w:val="auto"/>
          <w:sz w:val="22"/>
          <w:highlight w:val="none"/>
        </w:rPr>
      </w:pPr>
      <w:r>
        <w:rPr>
          <w:rFonts w:hint="eastAsia" w:ascii="宋体" w:hAnsi="宋体" w:eastAsia="宋体" w:cs="宋体"/>
          <w:bCs/>
          <w:color w:val="auto"/>
          <w:sz w:val="22"/>
          <w:szCs w:val="22"/>
          <w:highlight w:val="none"/>
        </w:rPr>
        <w:t>由评标委员会对各投标供应商的商务报价进行核查，</w:t>
      </w:r>
      <w:r>
        <w:rPr>
          <w:rFonts w:hint="eastAsia" w:ascii="宋体" w:hAnsi="宋体" w:eastAsia="宋体" w:cs="宋体"/>
          <w:bCs/>
          <w:color w:val="auto"/>
          <w:sz w:val="22"/>
          <w:szCs w:val="22"/>
          <w:highlight w:val="none"/>
          <w:lang w:val="en-US" w:eastAsia="zh-CN"/>
        </w:rPr>
        <w:t>如出现投标文件中《报价一览表》内容与政采云系统显示的电子《报价一览表》相应内容不一致的，以扫描上传政采云系统并已签章的《报价一览表》为准，</w:t>
      </w:r>
      <w:r>
        <w:rPr>
          <w:rFonts w:hint="eastAsia" w:ascii="宋体" w:hAnsi="宋体" w:eastAsia="宋体" w:cs="宋体"/>
          <w:b/>
          <w:color w:val="auto"/>
          <w:sz w:val="22"/>
          <w:szCs w:val="22"/>
          <w:highlight w:val="none"/>
          <w:lang w:val="en-US" w:eastAsia="zh-CN"/>
        </w:rPr>
        <w:t>若</w:t>
      </w:r>
      <w:r>
        <w:rPr>
          <w:rFonts w:hint="eastAsia" w:ascii="宋体" w:hAnsi="宋体" w:eastAsia="宋体" w:cs="宋体"/>
          <w:b/>
          <w:color w:val="auto"/>
          <w:sz w:val="22"/>
          <w:szCs w:val="22"/>
          <w:highlight w:val="none"/>
          <w:u w:val="single"/>
        </w:rPr>
        <w:t>投标供应商不接受对其价格进行修正，其投标</w:t>
      </w:r>
      <w:r>
        <w:rPr>
          <w:rFonts w:hint="eastAsia" w:ascii="宋体" w:hAnsi="宋体" w:eastAsia="宋体" w:cs="宋体"/>
          <w:b/>
          <w:color w:val="auto"/>
          <w:sz w:val="22"/>
          <w:szCs w:val="22"/>
          <w:highlight w:val="none"/>
          <w:u w:val="single"/>
          <w:lang w:val="en-US" w:eastAsia="zh-CN"/>
        </w:rPr>
        <w:t>无效</w:t>
      </w:r>
      <w:r>
        <w:rPr>
          <w:rFonts w:hint="eastAsia" w:ascii="宋体" w:hAnsi="宋体" w:eastAsia="宋体" w:cs="宋体"/>
          <w:b/>
          <w:color w:val="auto"/>
          <w:sz w:val="22"/>
          <w:szCs w:val="22"/>
          <w:highlight w:val="none"/>
        </w:rPr>
        <w:t xml:space="preserve">。 </w:t>
      </w:r>
    </w:p>
    <w:p>
      <w:pPr>
        <w:numPr>
          <w:ilvl w:val="1"/>
          <w:numId w:val="12"/>
        </w:numPr>
        <w:tabs>
          <w:tab w:val="left" w:pos="540"/>
          <w:tab w:val="left" w:pos="992"/>
        </w:tabs>
        <w:overflowPunct w:val="0"/>
        <w:spacing w:line="440" w:lineRule="exact"/>
        <w:ind w:left="540" w:hanging="540"/>
        <w:rPr>
          <w:rFonts w:hint="eastAsia" w:ascii="宋体" w:hAnsi="宋体" w:eastAsia="宋体" w:cs="宋体"/>
          <w:bCs/>
          <w:color w:val="auto"/>
          <w:sz w:val="22"/>
          <w:szCs w:val="22"/>
          <w:highlight w:val="none"/>
        </w:rPr>
      </w:pPr>
      <w:r>
        <w:rPr>
          <w:rFonts w:hint="eastAsia" w:ascii="宋体" w:hAnsi="宋体" w:eastAsia="宋体" w:cs="宋体"/>
          <w:b/>
          <w:bCs/>
          <w:color w:val="auto"/>
          <w:sz w:val="22"/>
          <w:szCs w:val="22"/>
          <w:highlight w:val="none"/>
        </w:rPr>
        <w:t>实质上没有响应采购文件要求的投标将被拒绝</w:t>
      </w:r>
      <w:r>
        <w:rPr>
          <w:rFonts w:hint="eastAsia" w:ascii="宋体" w:hAnsi="宋体" w:eastAsia="宋体" w:cs="宋体"/>
          <w:bCs/>
          <w:color w:val="auto"/>
          <w:sz w:val="22"/>
          <w:szCs w:val="22"/>
          <w:highlight w:val="none"/>
        </w:rPr>
        <w:t>，投标供应商不得通过修正或撤消不合要求的偏离或保留从而使其投标成为实质上响应的投标。</w:t>
      </w:r>
    </w:p>
    <w:p>
      <w:pPr>
        <w:numPr>
          <w:ilvl w:val="1"/>
          <w:numId w:val="12"/>
        </w:numPr>
        <w:tabs>
          <w:tab w:val="left" w:pos="540"/>
          <w:tab w:val="left" w:pos="992"/>
        </w:tabs>
        <w:overflowPunct w:val="0"/>
        <w:spacing w:line="440" w:lineRule="exact"/>
        <w:ind w:left="540" w:hanging="5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评标委员会对审查合格的</w:t>
      </w: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按照采购文件中制订的评标方法进行综合评定打分。</w:t>
      </w:r>
    </w:p>
    <w:p>
      <w:pPr>
        <w:numPr>
          <w:ilvl w:val="1"/>
          <w:numId w:val="12"/>
        </w:numPr>
        <w:tabs>
          <w:tab w:val="left" w:pos="540"/>
          <w:tab w:val="left" w:pos="992"/>
        </w:tabs>
        <w:overflowPunct w:val="0"/>
        <w:spacing w:line="440" w:lineRule="exact"/>
        <w:ind w:left="540" w:hanging="5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评标过程中遇到特殊情况，由评标委员会遵循公开、公正原则，采取投票方式按照少数服从多数原则决定。</w:t>
      </w:r>
    </w:p>
    <w:p>
      <w:pPr>
        <w:numPr>
          <w:ilvl w:val="1"/>
          <w:numId w:val="12"/>
        </w:numPr>
        <w:tabs>
          <w:tab w:val="left" w:pos="540"/>
          <w:tab w:val="left" w:pos="567"/>
          <w:tab w:val="clear" w:pos="850"/>
        </w:tabs>
        <w:overflowPunct w:val="0"/>
        <w:spacing w:line="440" w:lineRule="exact"/>
        <w:ind w:left="540" w:hanging="5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采购响应截止时间止及评审期间有效投标供应商少于4家的，采购组织机构应当中止采购活动，则本项目流标，重新组织采购，或采用其他采购方式组织采购。</w:t>
      </w:r>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的澄清</w:t>
      </w:r>
    </w:p>
    <w:p>
      <w:pPr>
        <w:numPr>
          <w:ilvl w:val="1"/>
          <w:numId w:val="14"/>
        </w:numPr>
        <w:overflowPunct w:val="0"/>
        <w:spacing w:line="440" w:lineRule="exact"/>
        <w:ind w:left="567" w:hanging="567"/>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在评标期间，评标委员会可以书面方式要求投标供应商对</w:t>
      </w: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中含义不明确、对同类问题表述不一致或者有明显文字和计算错误的内容作必要的澄清、说明或补正。澄清、说明或补正应以书面</w:t>
      </w:r>
      <w:r>
        <w:rPr>
          <w:rFonts w:hint="eastAsia" w:ascii="宋体" w:hAnsi="宋体" w:eastAsia="宋体" w:cs="宋体"/>
          <w:bCs/>
          <w:color w:val="auto"/>
          <w:sz w:val="22"/>
          <w:szCs w:val="22"/>
          <w:highlight w:val="none"/>
          <w:lang w:val="en-US" w:eastAsia="zh-CN"/>
        </w:rPr>
        <w:t>或电子邮件等其他有效</w:t>
      </w:r>
      <w:r>
        <w:rPr>
          <w:rFonts w:hint="eastAsia" w:ascii="宋体" w:hAnsi="宋体" w:eastAsia="宋体" w:cs="宋体"/>
          <w:bCs/>
          <w:color w:val="auto"/>
          <w:sz w:val="22"/>
          <w:szCs w:val="22"/>
          <w:highlight w:val="none"/>
        </w:rPr>
        <w:t>形式提交{</w:t>
      </w:r>
      <w:r>
        <w:rPr>
          <w:rFonts w:hint="eastAsia" w:ascii="宋体" w:hAnsi="宋体" w:eastAsia="宋体" w:cs="宋体"/>
          <w:color w:val="auto"/>
          <w:sz w:val="22"/>
          <w:szCs w:val="22"/>
          <w:highlight w:val="none"/>
        </w:rPr>
        <w:t>加盖投标供应商公章</w:t>
      </w:r>
      <w:r>
        <w:rPr>
          <w:rFonts w:hint="eastAsia" w:ascii="宋体" w:hAnsi="宋体" w:eastAsia="宋体" w:cs="宋体"/>
          <w:b/>
          <w:color w:val="auto"/>
          <w:sz w:val="22"/>
          <w:szCs w:val="22"/>
          <w:highlight w:val="none"/>
        </w:rPr>
        <w:t>，</w:t>
      </w:r>
      <w:r>
        <w:rPr>
          <w:rFonts w:hint="eastAsia" w:ascii="宋体" w:hAnsi="宋体" w:eastAsia="宋体" w:cs="宋体"/>
          <w:color w:val="auto"/>
          <w:sz w:val="22"/>
          <w:szCs w:val="22"/>
          <w:highlight w:val="none"/>
        </w:rPr>
        <w:t>并由法定代表人（或单位负责人）或其授权代表签署（签字或盖章）</w:t>
      </w:r>
      <w:r>
        <w:rPr>
          <w:rFonts w:hint="eastAsia" w:ascii="宋体" w:hAnsi="宋体" w:eastAsia="宋体" w:cs="宋体"/>
          <w:bCs/>
          <w:color w:val="auto"/>
          <w:sz w:val="22"/>
          <w:szCs w:val="22"/>
          <w:highlight w:val="none"/>
        </w:rPr>
        <w:t>}，但澄清内容不得超出</w:t>
      </w: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的范围或者改变</w:t>
      </w: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的实质性内容。拒不按要求对其</w:t>
      </w:r>
      <w:r>
        <w:rPr>
          <w:rFonts w:hint="eastAsia" w:ascii="宋体" w:hAnsi="宋体" w:eastAsia="宋体" w:cs="宋体"/>
          <w:bCs/>
          <w:color w:val="auto"/>
          <w:sz w:val="22"/>
          <w:szCs w:val="22"/>
          <w:highlight w:val="none"/>
          <w:lang w:eastAsia="zh-CN"/>
        </w:rPr>
        <w:t>投标文件</w:t>
      </w:r>
      <w:r>
        <w:rPr>
          <w:rFonts w:hint="eastAsia" w:ascii="宋体" w:hAnsi="宋体" w:eastAsia="宋体" w:cs="宋体"/>
          <w:bCs/>
          <w:color w:val="auto"/>
          <w:sz w:val="22"/>
          <w:szCs w:val="22"/>
          <w:highlight w:val="none"/>
        </w:rPr>
        <w:t>进行澄清，说明或补正的投标供应商，评标委员会可以否决其投标。</w:t>
      </w:r>
    </w:p>
    <w:p>
      <w:pPr>
        <w:numPr>
          <w:ilvl w:val="1"/>
          <w:numId w:val="14"/>
        </w:numPr>
        <w:overflowPunct w:val="0"/>
        <w:spacing w:line="440" w:lineRule="exact"/>
        <w:ind w:left="567" w:hanging="567"/>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经澄清后，若偏差仍存在，且不可接受，投标供应商则被认为是“没有实质性响应采购文件要求”，其投标将被否决。</w:t>
      </w:r>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23. </w:t>
      </w:r>
      <w:r>
        <w:rPr>
          <w:rFonts w:hint="eastAsia" w:ascii="宋体" w:hAnsi="宋体" w:eastAsia="宋体" w:cs="宋体"/>
          <w:color w:val="auto"/>
          <w:sz w:val="22"/>
          <w:szCs w:val="22"/>
          <w:highlight w:val="none"/>
        </w:rPr>
        <w:t>确定中标候选人</w:t>
      </w:r>
    </w:p>
    <w:p>
      <w:pPr>
        <w:numPr>
          <w:ilvl w:val="1"/>
          <w:numId w:val="15"/>
        </w:numPr>
        <w:overflowPunct w:val="0"/>
        <w:spacing w:line="44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确定中标候选人细则详见采购文件第五部分“</w:t>
      </w:r>
      <w:r>
        <w:rPr>
          <w:rFonts w:hint="eastAsia" w:ascii="宋体" w:hAnsi="宋体" w:eastAsia="宋体" w:cs="宋体"/>
          <w:b/>
          <w:bCs/>
          <w:color w:val="auto"/>
          <w:sz w:val="22"/>
          <w:szCs w:val="22"/>
          <w:highlight w:val="none"/>
        </w:rPr>
        <w:t>评标原则及方法</w:t>
      </w:r>
      <w:r>
        <w:rPr>
          <w:rFonts w:hint="eastAsia" w:ascii="宋体" w:hAnsi="宋体" w:eastAsia="宋体" w:cs="宋体"/>
          <w:bCs/>
          <w:color w:val="auto"/>
          <w:sz w:val="22"/>
          <w:szCs w:val="22"/>
          <w:highlight w:val="none"/>
        </w:rPr>
        <w:t>”</w:t>
      </w:r>
    </w:p>
    <w:p>
      <w:pPr>
        <w:numPr>
          <w:ilvl w:val="1"/>
          <w:numId w:val="15"/>
        </w:numPr>
        <w:overflowPunct w:val="0"/>
        <w:spacing w:line="440" w:lineRule="exact"/>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采购人、采购代理机构及评标委员会不向落标的投标供应商解释落标原因，也不公布评标过程中的相关细节</w:t>
      </w:r>
      <w:r>
        <w:rPr>
          <w:rFonts w:hint="eastAsia" w:ascii="宋体" w:hAnsi="宋体" w:eastAsia="宋体" w:cs="宋体"/>
          <w:bCs/>
          <w:color w:val="auto"/>
          <w:sz w:val="22"/>
          <w:szCs w:val="22"/>
          <w:highlight w:val="none"/>
        </w:rPr>
        <w:t>。</w:t>
      </w:r>
    </w:p>
    <w:p>
      <w:pPr>
        <w:numPr>
          <w:numId w:val="0"/>
        </w:numPr>
        <w:tabs>
          <w:tab w:val="left" w:pos="420"/>
          <w:tab w:val="left" w:pos="540"/>
        </w:tabs>
        <w:spacing w:line="460" w:lineRule="exact"/>
        <w:ind w:left="0"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24.</w:t>
      </w:r>
      <w:r>
        <w:rPr>
          <w:rFonts w:hint="eastAsia" w:ascii="宋体" w:hAnsi="宋体" w:eastAsia="宋体" w:cs="宋体"/>
          <w:color w:val="auto"/>
          <w:sz w:val="22"/>
          <w:szCs w:val="22"/>
          <w:highlight w:val="none"/>
        </w:rPr>
        <w:t>评标细则详见</w:t>
      </w:r>
      <w:r>
        <w:rPr>
          <w:rFonts w:hint="eastAsia" w:ascii="宋体" w:hAnsi="宋体" w:eastAsia="宋体" w:cs="宋体"/>
          <w:bCs/>
          <w:color w:val="auto"/>
          <w:sz w:val="22"/>
          <w:szCs w:val="22"/>
          <w:highlight w:val="none"/>
        </w:rPr>
        <w:t>第五部分</w:t>
      </w:r>
      <w:r>
        <w:rPr>
          <w:rFonts w:hint="eastAsia" w:ascii="宋体" w:hAnsi="宋体" w:eastAsia="宋体" w:cs="宋体"/>
          <w:b/>
          <w:bCs/>
          <w:color w:val="auto"/>
          <w:sz w:val="22"/>
          <w:szCs w:val="22"/>
          <w:highlight w:val="none"/>
        </w:rPr>
        <w:t>“评标原则及方法”</w:t>
      </w:r>
      <w:r>
        <w:rPr>
          <w:rFonts w:hint="eastAsia" w:ascii="宋体" w:hAnsi="宋体" w:eastAsia="宋体" w:cs="宋体"/>
          <w:color w:val="auto"/>
          <w:sz w:val="22"/>
          <w:szCs w:val="22"/>
          <w:highlight w:val="none"/>
        </w:rPr>
        <w:t>。</w:t>
      </w:r>
    </w:p>
    <w:p>
      <w:pPr>
        <w:overflowPunct w:val="0"/>
        <w:spacing w:before="100" w:beforeAutospacing="1" w:after="100" w:afterAutospacing="1" w:line="440" w:lineRule="exact"/>
        <w:ind w:left="-6"/>
        <w:jc w:val="center"/>
        <w:outlineLvl w:val="0"/>
        <w:rPr>
          <w:rFonts w:hint="eastAsia" w:ascii="宋体" w:hAnsi="宋体" w:eastAsia="宋体" w:cs="宋体"/>
          <w:b/>
          <w:bCs/>
          <w:color w:val="auto"/>
          <w:sz w:val="26"/>
          <w:szCs w:val="26"/>
          <w:highlight w:val="none"/>
        </w:rPr>
      </w:pPr>
      <w:bookmarkStart w:id="140" w:name="_Toc251325216"/>
      <w:bookmarkStart w:id="141" w:name="_Toc222114881"/>
      <w:bookmarkStart w:id="142" w:name="_Toc223716000"/>
      <w:bookmarkStart w:id="143" w:name="_Toc221423621"/>
      <w:bookmarkStart w:id="144" w:name="_Toc245722283"/>
      <w:bookmarkStart w:id="145" w:name="_Toc251592739"/>
      <w:bookmarkStart w:id="146" w:name="_Toc246261267"/>
      <w:bookmarkStart w:id="147" w:name="_Toc239145356"/>
      <w:bookmarkStart w:id="148" w:name="_Toc15318"/>
      <w:bookmarkStart w:id="149" w:name="_Toc245191316"/>
      <w:bookmarkStart w:id="150" w:name="_Toc16671"/>
      <w:bookmarkStart w:id="151" w:name="_Toc252194854"/>
      <w:bookmarkStart w:id="152" w:name="_Toc75948403"/>
      <w:bookmarkStart w:id="153" w:name="_Toc221356953"/>
      <w:bookmarkStart w:id="154" w:name="_Toc241404204"/>
      <w:bookmarkStart w:id="155" w:name="_Toc221356889"/>
      <w:bookmarkStart w:id="156" w:name="_Toc221374628"/>
      <w:r>
        <w:rPr>
          <w:rFonts w:hint="eastAsia" w:ascii="宋体" w:hAnsi="宋体" w:eastAsia="宋体" w:cs="宋体"/>
          <w:b/>
          <w:bCs/>
          <w:color w:val="auto"/>
          <w:sz w:val="26"/>
          <w:szCs w:val="26"/>
          <w:highlight w:val="none"/>
        </w:rPr>
        <w:t>六、 授予合同</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widowControl w:val="0"/>
        <w:numPr>
          <w:numId w:val="0"/>
        </w:numPr>
        <w:tabs>
          <w:tab w:val="left" w:pos="420"/>
          <w:tab w:val="left" w:pos="540"/>
        </w:tabs>
        <w:wordWrap/>
        <w:adjustRightInd/>
        <w:snapToGrid/>
        <w:spacing w:line="360" w:lineRule="auto"/>
        <w:ind w:left="0" w:right="0" w:firstLine="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25.确定成交供应商</w:t>
      </w:r>
    </w:p>
    <w:p>
      <w:pPr>
        <w:widowControl w:val="0"/>
        <w:tabs>
          <w:tab w:val="left" w:pos="540"/>
        </w:tabs>
        <w:wordWrap/>
        <w:adjustRightInd/>
        <w:snapToGrid/>
        <w:spacing w:line="360" w:lineRule="auto"/>
        <w:ind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25</w:t>
      </w:r>
      <w:r>
        <w:rPr>
          <w:rFonts w:hint="eastAsia" w:ascii="宋体" w:hAnsi="宋体" w:eastAsia="宋体" w:cs="宋体"/>
          <w:color w:val="auto"/>
          <w:sz w:val="22"/>
          <w:szCs w:val="22"/>
          <w:highlight w:val="none"/>
        </w:rPr>
        <w:t>.1采购人自收到评标报告之日起5个工作日内，在评标报告确定的中标候选人名单中按顺序确定</w:t>
      </w:r>
      <w:r>
        <w:rPr>
          <w:rFonts w:hint="eastAsia" w:ascii="宋体" w:hAnsi="宋体" w:eastAsia="宋体" w:cs="宋体"/>
          <w:color w:val="auto"/>
          <w:sz w:val="22"/>
          <w:szCs w:val="22"/>
          <w:highlight w:val="none"/>
          <w:lang w:eastAsia="zh-CN"/>
        </w:rPr>
        <w:t>成交供应商</w:t>
      </w:r>
      <w:r>
        <w:rPr>
          <w:rFonts w:hint="eastAsia" w:ascii="宋体" w:hAnsi="宋体" w:eastAsia="宋体" w:cs="宋体"/>
          <w:color w:val="auto"/>
          <w:sz w:val="22"/>
          <w:szCs w:val="22"/>
          <w:highlight w:val="none"/>
        </w:rPr>
        <w:t>。</w:t>
      </w:r>
    </w:p>
    <w:p>
      <w:pPr>
        <w:widowControl w:val="0"/>
        <w:tabs>
          <w:tab w:val="left" w:pos="540"/>
        </w:tabs>
        <w:wordWrap/>
        <w:adjustRightInd/>
        <w:snapToGrid/>
        <w:spacing w:line="360" w:lineRule="auto"/>
        <w:ind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25</w:t>
      </w: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eastAsia="zh-CN"/>
        </w:rPr>
        <w:t>成交供应商</w:t>
      </w:r>
      <w:r>
        <w:rPr>
          <w:rFonts w:hint="eastAsia" w:ascii="宋体" w:hAnsi="宋体" w:eastAsia="宋体" w:cs="宋体"/>
          <w:color w:val="auto"/>
          <w:sz w:val="22"/>
          <w:szCs w:val="22"/>
          <w:highlight w:val="none"/>
        </w:rPr>
        <w:t>确定之日起2个工作日内，在</w:t>
      </w:r>
      <w:r>
        <w:rPr>
          <w:rFonts w:hint="eastAsia" w:ascii="宋体" w:hAnsi="宋体" w:eastAsia="宋体" w:cs="宋体"/>
          <w:color w:val="auto"/>
          <w:sz w:val="22"/>
          <w:szCs w:val="22"/>
          <w:highlight w:val="none"/>
          <w:lang w:val="en-US" w:eastAsia="zh-CN"/>
        </w:rPr>
        <w:t>指定媒介上</w:t>
      </w:r>
      <w:r>
        <w:rPr>
          <w:rFonts w:hint="eastAsia" w:ascii="宋体" w:hAnsi="宋体" w:eastAsia="宋体" w:cs="宋体"/>
          <w:color w:val="auto"/>
          <w:sz w:val="22"/>
          <w:szCs w:val="22"/>
          <w:highlight w:val="none"/>
        </w:rPr>
        <w:t>公告中标结果，中标公告期限为1个工作日；</w:t>
      </w:r>
    </w:p>
    <w:p>
      <w:pPr>
        <w:widowControl w:val="0"/>
        <w:tabs>
          <w:tab w:val="left" w:pos="540"/>
        </w:tabs>
        <w:wordWrap/>
        <w:adjustRightInd/>
        <w:snapToGrid/>
        <w:spacing w:line="360" w:lineRule="auto"/>
        <w:ind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25</w:t>
      </w: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中标公示期限结束无异议的</w:t>
      </w:r>
      <w:r>
        <w:rPr>
          <w:rFonts w:hint="eastAsia" w:ascii="宋体" w:hAnsi="宋体" w:eastAsia="宋体" w:cs="宋体"/>
          <w:color w:val="auto"/>
          <w:sz w:val="22"/>
          <w:szCs w:val="22"/>
          <w:highlight w:val="none"/>
        </w:rPr>
        <w:t>，采购人向</w:t>
      </w:r>
      <w:r>
        <w:rPr>
          <w:rFonts w:hint="eastAsia" w:ascii="宋体" w:hAnsi="宋体" w:eastAsia="宋体" w:cs="宋体"/>
          <w:color w:val="auto"/>
          <w:sz w:val="22"/>
          <w:szCs w:val="22"/>
          <w:highlight w:val="none"/>
          <w:lang w:eastAsia="zh-CN"/>
        </w:rPr>
        <w:t>成交供应商</w:t>
      </w:r>
      <w:r>
        <w:rPr>
          <w:rFonts w:hint="eastAsia" w:ascii="宋体" w:hAnsi="宋体" w:eastAsia="宋体" w:cs="宋体"/>
          <w:color w:val="auto"/>
          <w:sz w:val="22"/>
          <w:szCs w:val="22"/>
          <w:highlight w:val="none"/>
        </w:rPr>
        <w:t>发出</w:t>
      </w:r>
      <w:r>
        <w:rPr>
          <w:rFonts w:hint="eastAsia" w:ascii="宋体" w:hAnsi="宋体" w:eastAsia="宋体" w:cs="宋体"/>
          <w:color w:val="auto"/>
          <w:sz w:val="22"/>
          <w:szCs w:val="22"/>
          <w:highlight w:val="none"/>
          <w:lang w:eastAsia="zh-CN"/>
        </w:rPr>
        <w:t>中标（成交）通知书</w:t>
      </w:r>
      <w:r>
        <w:rPr>
          <w:rFonts w:hint="eastAsia" w:ascii="宋体" w:hAnsi="宋体" w:eastAsia="宋体" w:cs="宋体"/>
          <w:color w:val="auto"/>
          <w:sz w:val="22"/>
          <w:szCs w:val="22"/>
          <w:highlight w:val="none"/>
        </w:rPr>
        <w:t>。</w:t>
      </w:r>
    </w:p>
    <w:p>
      <w:pPr>
        <w:widowControl w:val="0"/>
        <w:tabs>
          <w:tab w:val="left" w:pos="540"/>
        </w:tabs>
        <w:wordWrap/>
        <w:adjustRightInd/>
        <w:snapToGrid/>
        <w:spacing w:line="360" w:lineRule="auto"/>
        <w:ind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25</w:t>
      </w:r>
      <w:r>
        <w:rPr>
          <w:rFonts w:hint="eastAsia" w:ascii="宋体" w:hAnsi="宋体" w:eastAsia="宋体" w:cs="宋体"/>
          <w:color w:val="auto"/>
          <w:sz w:val="22"/>
          <w:szCs w:val="22"/>
          <w:highlight w:val="none"/>
        </w:rPr>
        <w:t>.4</w:t>
      </w:r>
      <w:r>
        <w:rPr>
          <w:rFonts w:hint="eastAsia" w:ascii="宋体" w:hAnsi="宋体" w:eastAsia="宋体" w:cs="宋体"/>
          <w:color w:val="auto"/>
          <w:sz w:val="22"/>
          <w:szCs w:val="22"/>
          <w:highlight w:val="none"/>
          <w:lang w:eastAsia="zh-CN"/>
        </w:rPr>
        <w:t>中标（成交）通知书</w:t>
      </w:r>
      <w:r>
        <w:rPr>
          <w:rFonts w:hint="eastAsia" w:ascii="宋体" w:hAnsi="宋体" w:eastAsia="宋体" w:cs="宋体"/>
          <w:color w:val="auto"/>
          <w:sz w:val="22"/>
          <w:szCs w:val="22"/>
          <w:highlight w:val="none"/>
        </w:rPr>
        <w:t>发出后，采购人不得违法改变中标结果，</w:t>
      </w:r>
      <w:r>
        <w:rPr>
          <w:rFonts w:hint="eastAsia" w:ascii="宋体" w:hAnsi="宋体" w:eastAsia="宋体" w:cs="宋体"/>
          <w:color w:val="auto"/>
          <w:sz w:val="22"/>
          <w:szCs w:val="22"/>
          <w:highlight w:val="none"/>
          <w:lang w:eastAsia="zh-CN"/>
        </w:rPr>
        <w:t>成交供应商</w:t>
      </w:r>
      <w:r>
        <w:rPr>
          <w:rFonts w:hint="eastAsia" w:ascii="宋体" w:hAnsi="宋体" w:eastAsia="宋体" w:cs="宋体"/>
          <w:color w:val="auto"/>
          <w:sz w:val="22"/>
          <w:szCs w:val="22"/>
          <w:highlight w:val="none"/>
        </w:rPr>
        <w:t>无正当理由不得放弃中标。</w:t>
      </w:r>
    </w:p>
    <w:p>
      <w:pPr>
        <w:widowControl w:val="0"/>
        <w:tabs>
          <w:tab w:val="left" w:pos="540"/>
        </w:tabs>
        <w:wordWrap/>
        <w:adjustRightInd/>
        <w:snapToGrid/>
        <w:spacing w:line="360" w:lineRule="auto"/>
        <w:ind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25</w:t>
      </w:r>
      <w:r>
        <w:rPr>
          <w:rFonts w:hint="eastAsia" w:ascii="宋体" w:hAnsi="宋体" w:eastAsia="宋体" w:cs="宋体"/>
          <w:color w:val="auto"/>
          <w:sz w:val="22"/>
          <w:szCs w:val="22"/>
          <w:highlight w:val="none"/>
        </w:rPr>
        <w:t>.5各</w:t>
      </w:r>
      <w:r>
        <w:rPr>
          <w:rFonts w:hint="eastAsia" w:ascii="宋体" w:hAnsi="宋体" w:eastAsia="宋体" w:cs="宋体"/>
          <w:color w:val="auto"/>
          <w:sz w:val="22"/>
          <w:szCs w:val="22"/>
          <w:highlight w:val="none"/>
          <w:lang w:eastAsia="zh-CN"/>
        </w:rPr>
        <w:t>投标供应商</w:t>
      </w:r>
      <w:r>
        <w:rPr>
          <w:rFonts w:hint="eastAsia" w:ascii="宋体" w:hAnsi="宋体" w:eastAsia="宋体" w:cs="宋体"/>
          <w:color w:val="auto"/>
          <w:sz w:val="22"/>
          <w:szCs w:val="22"/>
          <w:highlight w:val="none"/>
        </w:rPr>
        <w:t>对中标结果如有质疑，可在中标公告</w:t>
      </w:r>
      <w:r>
        <w:rPr>
          <w:rFonts w:hint="eastAsia" w:ascii="宋体" w:hAnsi="宋体" w:eastAsia="宋体" w:cs="宋体"/>
          <w:color w:val="auto"/>
          <w:sz w:val="22"/>
          <w:szCs w:val="22"/>
          <w:highlight w:val="none"/>
          <w:lang w:val="en-US" w:eastAsia="zh-CN"/>
        </w:rPr>
        <w:t>期限届满</w:t>
      </w:r>
      <w:r>
        <w:rPr>
          <w:rFonts w:hint="eastAsia" w:ascii="宋体" w:hAnsi="宋体" w:eastAsia="宋体" w:cs="宋体"/>
          <w:color w:val="auto"/>
          <w:sz w:val="22"/>
          <w:szCs w:val="22"/>
          <w:highlight w:val="none"/>
        </w:rPr>
        <w:t>之日起7个工作日内以书面形式向采购人或者采购代理机构提出质疑，但需对质疑内容的真实性承担法律责任。</w:t>
      </w:r>
    </w:p>
    <w:p>
      <w:pPr>
        <w:widowControl w:val="0"/>
        <w:numPr>
          <w:numId w:val="0"/>
        </w:numPr>
        <w:tabs>
          <w:tab w:val="left" w:pos="420"/>
          <w:tab w:val="left" w:pos="540"/>
        </w:tabs>
        <w:wordWrap/>
        <w:adjustRightInd/>
        <w:snapToGrid/>
        <w:spacing w:line="360" w:lineRule="auto"/>
        <w:ind w:left="0" w:right="0" w:firstLine="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26. </w:t>
      </w:r>
      <w:r>
        <w:rPr>
          <w:rFonts w:hint="eastAsia" w:ascii="宋体" w:hAnsi="宋体" w:eastAsia="宋体" w:cs="宋体"/>
          <w:color w:val="auto"/>
          <w:sz w:val="22"/>
          <w:szCs w:val="22"/>
          <w:highlight w:val="none"/>
        </w:rPr>
        <w:t>签订合同</w:t>
      </w:r>
    </w:p>
    <w:p>
      <w:pPr>
        <w:widowControl w:val="0"/>
        <w:numPr>
          <w:numId w:val="0"/>
        </w:numPr>
        <w:tabs>
          <w:tab w:val="left" w:pos="540"/>
        </w:tabs>
        <w:wordWrap/>
        <w:overflowPunct w:val="0"/>
        <w:adjustRightInd/>
        <w:snapToGrid/>
        <w:spacing w:line="360" w:lineRule="auto"/>
        <w:ind w:leftChars="0" w:right="0"/>
        <w:textAlignment w:val="auto"/>
        <w:rPr>
          <w:rFonts w:hint="eastAsia" w:ascii="宋体" w:hAnsi="宋体" w:eastAsia="宋体" w:cs="宋体"/>
          <w:b/>
          <w:color w:val="auto"/>
          <w:spacing w:val="6"/>
          <w:sz w:val="22"/>
          <w:szCs w:val="22"/>
          <w:highlight w:val="none"/>
        </w:rPr>
      </w:pPr>
      <w:r>
        <w:rPr>
          <w:rFonts w:hint="eastAsia" w:ascii="宋体" w:hAnsi="宋体" w:eastAsia="宋体" w:cs="宋体"/>
          <w:color w:val="auto"/>
          <w:sz w:val="22"/>
          <w:szCs w:val="22"/>
          <w:highlight w:val="none"/>
          <w:lang w:val="en-US" w:eastAsia="zh-CN"/>
        </w:rPr>
        <w:t>26.1</w:t>
      </w:r>
      <w:r>
        <w:rPr>
          <w:rFonts w:hint="eastAsia" w:ascii="宋体" w:hAnsi="宋体" w:eastAsia="宋体" w:cs="宋体"/>
          <w:color w:val="auto"/>
          <w:sz w:val="22"/>
          <w:szCs w:val="22"/>
          <w:highlight w:val="none"/>
        </w:rPr>
        <w:t>成交供应商应按</w:t>
      </w:r>
      <w:r>
        <w:rPr>
          <w:rFonts w:hint="eastAsia" w:ascii="宋体" w:hAnsi="宋体" w:eastAsia="宋体" w:cs="宋体"/>
          <w:color w:val="auto"/>
          <w:sz w:val="22"/>
          <w:szCs w:val="22"/>
          <w:highlight w:val="none"/>
          <w:lang w:eastAsia="zh-CN"/>
        </w:rPr>
        <w:t>中标（成交）通知书</w:t>
      </w:r>
      <w:r>
        <w:rPr>
          <w:rFonts w:hint="eastAsia" w:ascii="宋体" w:hAnsi="宋体" w:eastAsia="宋体" w:cs="宋体"/>
          <w:color w:val="auto"/>
          <w:sz w:val="22"/>
          <w:szCs w:val="22"/>
          <w:highlight w:val="none"/>
        </w:rPr>
        <w:t>规定的时间、地点与采购人签订合同。</w:t>
      </w:r>
    </w:p>
    <w:p>
      <w:pPr>
        <w:widowControl w:val="0"/>
        <w:numPr>
          <w:numId w:val="0"/>
        </w:numPr>
        <w:tabs>
          <w:tab w:val="left" w:pos="540"/>
        </w:tabs>
        <w:wordWrap/>
        <w:overflowPunct w:val="0"/>
        <w:adjustRightInd/>
        <w:snapToGrid/>
        <w:spacing w:line="360" w:lineRule="auto"/>
        <w:ind w:leftChars="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26.2</w:t>
      </w:r>
      <w:r>
        <w:rPr>
          <w:rFonts w:hint="eastAsia" w:ascii="宋体" w:hAnsi="宋体" w:eastAsia="宋体" w:cs="宋体"/>
          <w:color w:val="auto"/>
          <w:sz w:val="22"/>
          <w:szCs w:val="22"/>
          <w:highlight w:val="none"/>
        </w:rPr>
        <w:t>采购文件、成交供应商的</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、投标修改文件、评标过程中的澄清文件以及询标纪要和</w:t>
      </w:r>
      <w:r>
        <w:rPr>
          <w:rFonts w:hint="eastAsia" w:ascii="宋体" w:hAnsi="宋体" w:eastAsia="宋体" w:cs="宋体"/>
          <w:color w:val="auto"/>
          <w:sz w:val="22"/>
          <w:szCs w:val="22"/>
          <w:highlight w:val="none"/>
          <w:lang w:eastAsia="zh-CN"/>
        </w:rPr>
        <w:t>中标（成交）通知书</w:t>
      </w:r>
      <w:r>
        <w:rPr>
          <w:rFonts w:hint="eastAsia" w:ascii="宋体" w:hAnsi="宋体" w:eastAsia="宋体" w:cs="宋体"/>
          <w:color w:val="auto"/>
          <w:sz w:val="22"/>
          <w:szCs w:val="22"/>
          <w:highlight w:val="none"/>
        </w:rPr>
        <w:t>与</w:t>
      </w:r>
      <w:r>
        <w:rPr>
          <w:rFonts w:hint="eastAsia" w:ascii="宋体" w:hAnsi="宋体" w:eastAsia="宋体" w:cs="宋体"/>
          <w:color w:val="auto"/>
          <w:sz w:val="22"/>
          <w:szCs w:val="22"/>
          <w:highlight w:val="none"/>
          <w:lang w:eastAsia="zh-CN"/>
        </w:rPr>
        <w:t>合同主要条款及承销协议</w:t>
      </w:r>
      <w:r>
        <w:rPr>
          <w:rFonts w:hint="eastAsia" w:ascii="宋体" w:hAnsi="宋体" w:eastAsia="宋体" w:cs="宋体"/>
          <w:color w:val="auto"/>
          <w:sz w:val="22"/>
          <w:szCs w:val="22"/>
          <w:highlight w:val="none"/>
        </w:rPr>
        <w:t>一起构成合同文件。</w:t>
      </w:r>
    </w:p>
    <w:p>
      <w:pPr>
        <w:widowControl w:val="0"/>
        <w:numPr>
          <w:numId w:val="0"/>
        </w:numPr>
        <w:tabs>
          <w:tab w:val="left" w:pos="540"/>
        </w:tabs>
        <w:wordWrap/>
        <w:overflowPunct w:val="0"/>
        <w:adjustRightInd/>
        <w:snapToGrid/>
        <w:spacing w:line="360" w:lineRule="auto"/>
        <w:ind w:leftChars="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26.3</w:t>
      </w:r>
      <w:r>
        <w:rPr>
          <w:rFonts w:hint="eastAsia" w:ascii="宋体" w:hAnsi="宋体" w:eastAsia="宋体" w:cs="宋体"/>
          <w:color w:val="auto"/>
          <w:sz w:val="22"/>
          <w:szCs w:val="22"/>
          <w:highlight w:val="none"/>
        </w:rPr>
        <w:t>拒签合同的违约责任：</w:t>
      </w:r>
    </w:p>
    <w:p>
      <w:pPr>
        <w:widowControl w:val="0"/>
        <w:numPr>
          <w:numId w:val="0"/>
        </w:numPr>
        <w:tabs>
          <w:tab w:val="left" w:pos="420"/>
          <w:tab w:val="left" w:pos="540"/>
        </w:tabs>
        <w:wordWrap/>
        <w:adjustRightInd/>
        <w:snapToGrid/>
        <w:spacing w:line="360" w:lineRule="auto"/>
        <w:ind w:left="0" w:right="0" w:firstLine="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成交供应商接到中标（成交）通知书后，在规定时间内借故否认已经承诺的条件而拒签合同的，以投标违约处理，应按采购预算金额的2%赔偿对采购组织机构造成的损失；采购人重新组织采购的，所需费用由该成交供应商承担。</w:t>
      </w:r>
    </w:p>
    <w:p>
      <w:pPr>
        <w:widowControl w:val="0"/>
        <w:numPr>
          <w:numId w:val="0"/>
        </w:numPr>
        <w:tabs>
          <w:tab w:val="left" w:pos="540"/>
        </w:tabs>
        <w:wordWrap/>
        <w:overflowPunct w:val="0"/>
        <w:adjustRightInd/>
        <w:snapToGrid/>
        <w:spacing w:line="360" w:lineRule="auto"/>
        <w:ind w:leftChars="0" w:right="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 xml:space="preserve">27  成交供应商应在合同签订后5个工作日内提交一份合同文本扫描件报采购代理机构备案。 </w:t>
      </w:r>
    </w:p>
    <w:p>
      <w:pPr>
        <w:numPr>
          <w:numId w:val="0"/>
        </w:numPr>
        <w:tabs>
          <w:tab w:val="left" w:pos="420"/>
          <w:tab w:val="left" w:pos="540"/>
        </w:tabs>
        <w:spacing w:line="460" w:lineRule="exact"/>
        <w:ind w:left="0" w:firstLine="0"/>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28. 采购代理服务费</w:t>
      </w:r>
    </w:p>
    <w:p>
      <w:pPr>
        <w:numPr>
          <w:ilvl w:val="1"/>
          <w:numId w:val="16"/>
        </w:numPr>
        <w:tabs>
          <w:tab w:val="left" w:pos="540"/>
        </w:tabs>
        <w:spacing w:line="440" w:lineRule="exact"/>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本次采购代理服务费按固定金额</w:t>
      </w:r>
      <w:r>
        <w:rPr>
          <w:rFonts w:hint="eastAsia" w:ascii="宋体" w:hAnsi="宋体" w:cs="宋体"/>
          <w:b/>
          <w:bCs/>
          <w:color w:val="auto"/>
          <w:kern w:val="2"/>
          <w:sz w:val="22"/>
          <w:szCs w:val="22"/>
          <w:highlight w:val="none"/>
          <w:lang w:val="en-US" w:eastAsia="zh-CN" w:bidi="ar-SA"/>
        </w:rPr>
        <w:t>65</w:t>
      </w:r>
      <w:r>
        <w:rPr>
          <w:rFonts w:hint="eastAsia" w:ascii="宋体" w:hAnsi="宋体" w:eastAsia="宋体" w:cs="宋体"/>
          <w:b/>
          <w:bCs/>
          <w:color w:val="auto"/>
          <w:kern w:val="2"/>
          <w:sz w:val="22"/>
          <w:szCs w:val="22"/>
          <w:highlight w:val="none"/>
          <w:lang w:val="en-US" w:eastAsia="zh-CN" w:bidi="ar-SA"/>
        </w:rPr>
        <w:t>00元收取，招标代理服务费由牵头主承销商承担，在领取中标（成交）通知书之前一次性支付给采购代理机构。</w:t>
      </w:r>
    </w:p>
    <w:p>
      <w:pPr>
        <w:numPr>
          <w:ilvl w:val="0"/>
          <w:numId w:val="17"/>
        </w:numPr>
        <w:spacing w:before="100" w:beforeAutospacing="1" w:after="100" w:afterAutospacing="1" w:line="440" w:lineRule="exact"/>
        <w:jc w:val="center"/>
        <w:outlineLvl w:val="0"/>
        <w:rPr>
          <w:rFonts w:hint="eastAsia" w:ascii="宋体" w:hAnsi="宋体" w:eastAsia="宋体" w:cs="宋体"/>
          <w:b/>
          <w:bCs/>
          <w:color w:val="auto"/>
          <w:sz w:val="36"/>
          <w:szCs w:val="36"/>
          <w:highlight w:val="none"/>
          <w:lang w:val="en-US" w:eastAsia="zh-CN"/>
        </w:rPr>
      </w:pPr>
      <w:bookmarkStart w:id="157" w:name="_Toc14500"/>
      <w:bookmarkStart w:id="158" w:name="_Toc391410218"/>
      <w:bookmarkStart w:id="159" w:name="_Toc216667826"/>
      <w:bookmarkStart w:id="160" w:name="_Toc29196"/>
      <w:bookmarkStart w:id="161" w:name="_Toc215415536"/>
      <w:bookmarkStart w:id="162" w:name="_Toc5417"/>
      <w:bookmarkStart w:id="163" w:name="_Toc450922612"/>
      <w:bookmarkStart w:id="164" w:name="_Toc29238"/>
      <w:bookmarkStart w:id="165" w:name="_Toc320037094"/>
      <w:bookmarkStart w:id="166" w:name="_Toc223717610"/>
      <w:bookmarkStart w:id="167" w:name="_Toc129"/>
      <w:bookmarkStart w:id="168" w:name="_Toc75948404"/>
      <w:bookmarkStart w:id="169" w:name="_Toc227057039"/>
      <w:bookmarkStart w:id="170" w:name="_Toc230516657"/>
      <w:bookmarkStart w:id="171" w:name="_Toc449519967"/>
      <w:bookmarkStart w:id="172" w:name="_Toc227056852"/>
      <w:bookmarkStart w:id="173" w:name="_Toc227489893"/>
      <w:bookmarkStart w:id="174" w:name="_Toc219538619"/>
      <w:bookmarkStart w:id="175" w:name="_Toc223933227"/>
      <w:bookmarkStart w:id="176" w:name="_Toc7188"/>
      <w:bookmarkStart w:id="177" w:name="_Toc288"/>
      <w:bookmarkStart w:id="178" w:name="_Toc218041732"/>
      <w:bookmarkStart w:id="179" w:name="_Toc217460691"/>
      <w:bookmarkStart w:id="180" w:name="_Toc252194856"/>
      <w:bookmarkStart w:id="181" w:name="_Toc221374630"/>
      <w:bookmarkStart w:id="182" w:name="_Toc239145358"/>
      <w:bookmarkStart w:id="183" w:name="_Toc251325218"/>
      <w:bookmarkStart w:id="184" w:name="_Toc245191318"/>
      <w:bookmarkStart w:id="185" w:name="_Toc221356891"/>
      <w:bookmarkStart w:id="186" w:name="_Toc241404206"/>
      <w:bookmarkStart w:id="187" w:name="_Toc222114883"/>
      <w:bookmarkStart w:id="188" w:name="_Toc251592741"/>
      <w:bookmarkStart w:id="189" w:name="_Toc221356955"/>
      <w:bookmarkStart w:id="190" w:name="_Toc221423623"/>
      <w:bookmarkStart w:id="191" w:name="_Toc245722285"/>
      <w:bookmarkStart w:id="192" w:name="_Toc246261269"/>
      <w:bookmarkStart w:id="193" w:name="_Toc223716002"/>
      <w:bookmarkStart w:id="194" w:name="_Toc478047991"/>
      <w:r>
        <w:rPr>
          <w:rFonts w:hint="eastAsia" w:ascii="宋体" w:hAnsi="宋体" w:eastAsia="宋体" w:cs="宋体"/>
          <w:b/>
          <w:bCs/>
          <w:color w:val="auto"/>
          <w:sz w:val="36"/>
          <w:szCs w:val="36"/>
          <w:highlight w:val="none"/>
        </w:rPr>
        <w:t xml:space="preserve">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宋体" w:hAnsi="宋体" w:eastAsia="宋体" w:cs="宋体"/>
          <w:b/>
          <w:bCs/>
          <w:color w:val="auto"/>
          <w:sz w:val="36"/>
          <w:szCs w:val="36"/>
          <w:highlight w:val="none"/>
          <w:lang w:val="en-US" w:eastAsia="zh-CN"/>
        </w:rPr>
        <w:t>承销服务合作协议及承销协议</w:t>
      </w:r>
    </w:p>
    <w:p>
      <w:pPr>
        <w:numPr>
          <w:numId w:val="0"/>
        </w:numPr>
        <w:spacing w:before="100" w:beforeAutospacing="1" w:after="100" w:afterAutospacing="1" w:line="440" w:lineRule="exact"/>
        <w:jc w:val="both"/>
        <w:outlineLvl w:val="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color w:val="auto"/>
          <w:sz w:val="22"/>
          <w:szCs w:val="22"/>
          <w:highlight w:val="none"/>
          <w:lang w:val="en-US" w:eastAsia="zh-CN"/>
        </w:rPr>
        <w:t>下述协议中第三、四项根据当期询价结果视情况签订：</w:t>
      </w:r>
    </w:p>
    <w:p>
      <w:pPr>
        <w:numPr>
          <w:numId w:val="0"/>
        </w:numPr>
        <w:spacing w:before="100" w:beforeAutospacing="1" w:after="100" w:afterAutospacing="1" w:line="440" w:lineRule="exact"/>
        <w:jc w:val="both"/>
        <w:outlineLvl w:val="0"/>
        <w:rPr>
          <w:rFonts w:hint="eastAsia" w:ascii="宋体" w:hAnsi="宋体" w:eastAsia="宋体" w:cs="宋体"/>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一、承销服务合作协议</w:t>
      </w:r>
    </w:p>
    <w:p>
      <w:pPr>
        <w:numPr>
          <w:numId w:val="0"/>
        </w:numPr>
        <w:spacing w:before="100" w:beforeAutospacing="1" w:after="100" w:afterAutospacing="1" w:line="440" w:lineRule="exact"/>
        <w:jc w:val="both"/>
        <w:outlineLvl w:val="0"/>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二、承销协议</w:t>
      </w:r>
    </w:p>
    <w:p>
      <w:pPr>
        <w:numPr>
          <w:numId w:val="0"/>
        </w:numPr>
        <w:spacing w:before="100" w:beforeAutospacing="1" w:after="100" w:afterAutospacing="1" w:line="440" w:lineRule="exact"/>
        <w:jc w:val="both"/>
        <w:outlineLvl w:val="0"/>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三、承销补充协议</w:t>
      </w:r>
    </w:p>
    <w:p>
      <w:pPr>
        <w:numPr>
          <w:numId w:val="0"/>
        </w:numPr>
        <w:spacing w:before="100" w:beforeAutospacing="1" w:after="100" w:afterAutospacing="1" w:line="440" w:lineRule="exact"/>
        <w:jc w:val="both"/>
        <w:outlineLvl w:val="0"/>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四、资金监管协议</w:t>
      </w:r>
    </w:p>
    <w:p>
      <w:pPr>
        <w:numPr>
          <w:numId w:val="0"/>
        </w:numPr>
        <w:spacing w:before="100" w:beforeAutospacing="1" w:after="100" w:afterAutospacing="1" w:line="440" w:lineRule="exact"/>
        <w:ind w:firstLine="2200" w:firstLineChars="1000"/>
        <w:jc w:val="both"/>
        <w:outlineLvl w:val="0"/>
        <w:rPr>
          <w:rFonts w:hint="eastAsia" w:ascii="宋体" w:hAnsi="宋体" w:eastAsia="宋体" w:cs="宋体"/>
          <w:color w:val="auto"/>
          <w:sz w:val="22"/>
          <w:szCs w:val="22"/>
          <w:highlight w:val="none"/>
          <w:lang w:val="en-US" w:eastAsia="zh-CN"/>
        </w:rPr>
      </w:pPr>
    </w:p>
    <w:p>
      <w:pPr>
        <w:spacing w:line="360" w:lineRule="auto"/>
        <w:rPr>
          <w:rFonts w:hint="eastAsia" w:ascii="宋体" w:hAnsi="宋体" w:eastAsia="宋体" w:cs="宋体"/>
          <w:color w:val="auto"/>
          <w:sz w:val="22"/>
          <w:szCs w:val="22"/>
          <w:highlight w:val="none"/>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line="360" w:lineRule="auto"/>
        <w:ind w:firstLine="411"/>
        <w:jc w:val="center"/>
        <w:rPr>
          <w:rFonts w:hint="eastAsia" w:ascii="宋体" w:hAnsi="宋体" w:eastAsia="宋体" w:cs="宋体"/>
          <w:b/>
          <w:color w:val="auto"/>
          <w:sz w:val="22"/>
          <w:szCs w:val="22"/>
          <w:highlight w:val="none"/>
        </w:rPr>
      </w:pPr>
      <w:r>
        <w:rPr>
          <w:rFonts w:hint="eastAsia" w:ascii="宋体" w:hAnsi="宋体" w:eastAsia="宋体" w:cs="宋体"/>
          <w:b/>
          <w:bCs/>
          <w:color w:val="auto"/>
          <w:sz w:val="36"/>
          <w:szCs w:val="36"/>
          <w:highlight w:val="none"/>
          <w:lang w:val="en-US" w:eastAsia="zh-CN"/>
        </w:rPr>
        <w:br w:type="page"/>
      </w:r>
      <w:r>
        <w:rPr>
          <w:rFonts w:hint="eastAsia" w:ascii="宋体" w:hAnsi="宋体" w:eastAsia="宋体" w:cs="宋体"/>
          <w:b/>
          <w:bCs/>
          <w:color w:val="auto"/>
          <w:sz w:val="36"/>
          <w:szCs w:val="36"/>
          <w:highlight w:val="none"/>
          <w:lang w:val="en-US" w:eastAsia="zh-CN"/>
        </w:rPr>
        <w:t>一、承销服务合作协议</w:t>
      </w:r>
    </w:p>
    <w:p>
      <w:pPr>
        <w:spacing w:before="156" w:after="156" w:line="360" w:lineRule="auto"/>
        <w:ind w:firstLine="411" w:firstLineChars="18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  温州市铁路与轨道交通投资集团有限公司，作为“发行方”；</w:t>
      </w:r>
    </w:p>
    <w:p>
      <w:pPr>
        <w:spacing w:before="156" w:after="156" w:line="360" w:lineRule="auto"/>
        <w:ind w:firstLine="411" w:firstLineChars="18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w:t>
      </w:r>
      <w:r>
        <w:rPr>
          <w:rFonts w:hint="eastAsia" w:ascii="宋体" w:hAnsi="宋体" w:eastAsia="宋体" w:cs="宋体"/>
          <w:color w:val="auto"/>
          <w:sz w:val="22"/>
          <w:szCs w:val="22"/>
          <w:highlight w:val="none"/>
          <w:lang w:val="en-US" w:eastAsia="zh-CN"/>
        </w:rPr>
        <w:t>ｎ</w:t>
      </w:r>
      <w:r>
        <w:rPr>
          <w:rFonts w:hint="eastAsia" w:ascii="宋体" w:hAnsi="宋体" w:eastAsia="宋体" w:cs="宋体"/>
          <w:color w:val="auto"/>
          <w:sz w:val="22"/>
          <w:szCs w:val="22"/>
          <w:highlight w:val="none"/>
        </w:rPr>
        <w:t>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u w:val="single"/>
          <w:lang w:val="en-US" w:eastAsia="zh-CN"/>
        </w:rPr>
        <w:t>n为本项目中标</w:t>
      </w:r>
      <w:r>
        <w:rPr>
          <w:rFonts w:hint="eastAsia" w:ascii="宋体" w:hAnsi="宋体" w:eastAsia="宋体" w:cs="宋体"/>
          <w:color w:val="auto"/>
          <w:kern w:val="2"/>
          <w:sz w:val="22"/>
          <w:szCs w:val="22"/>
          <w:highlight w:val="none"/>
          <w:lang w:val="en-US" w:eastAsia="zh-CN" w:bidi="ar-SA"/>
        </w:rPr>
        <w:t>主承销商库入围</w:t>
      </w:r>
      <w:r>
        <w:rPr>
          <w:rFonts w:hint="eastAsia" w:ascii="宋体" w:hAnsi="宋体" w:eastAsia="宋体" w:cs="宋体"/>
          <w:color w:val="auto"/>
          <w:sz w:val="22"/>
          <w:szCs w:val="22"/>
          <w:highlight w:val="none"/>
          <w:u w:val="single"/>
          <w:lang w:val="en-US" w:eastAsia="zh-CN"/>
        </w:rPr>
        <w:t>数量，与排名无关</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rPr>
        <w:t>，作为“牵头主承销商</w:t>
      </w:r>
      <w:r>
        <w:rPr>
          <w:rFonts w:hint="eastAsia" w:ascii="宋体" w:hAnsi="宋体" w:eastAsia="宋体" w:cs="宋体"/>
          <w:color w:val="auto"/>
          <w:sz w:val="22"/>
          <w:szCs w:val="22"/>
          <w:highlight w:val="none"/>
          <w:lang w:val="en-US" w:eastAsia="zh-CN"/>
        </w:rPr>
        <w:t>/联席主承销商</w:t>
      </w:r>
      <w:r>
        <w:rPr>
          <w:rFonts w:hint="eastAsia" w:ascii="宋体" w:hAnsi="宋体" w:eastAsia="宋体" w:cs="宋体"/>
          <w:color w:val="auto"/>
          <w:sz w:val="22"/>
          <w:szCs w:val="22"/>
          <w:highlight w:val="none"/>
        </w:rPr>
        <w:t>”；</w:t>
      </w:r>
    </w:p>
    <w:p>
      <w:pPr>
        <w:spacing w:before="156" w:after="156" w:line="360" w:lineRule="auto"/>
        <w:ind w:firstLine="411" w:firstLineChars="187"/>
        <w:rPr>
          <w:rFonts w:hint="eastAsia" w:ascii="宋体" w:hAnsi="宋体" w:eastAsia="宋体" w:cs="宋体"/>
          <w:color w:val="auto"/>
          <w:sz w:val="22"/>
          <w:szCs w:val="22"/>
          <w:highlight w:val="none"/>
        </w:rPr>
      </w:pPr>
    </w:p>
    <w:p>
      <w:pPr>
        <w:spacing w:before="156" w:after="156" w:line="360" w:lineRule="auto"/>
        <w:ind w:firstLine="41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根据《中华人民共和国</w:t>
      </w:r>
      <w:r>
        <w:rPr>
          <w:rFonts w:hint="eastAsia" w:ascii="宋体" w:hAnsi="宋体" w:eastAsia="宋体" w:cs="宋体"/>
          <w:color w:val="auto"/>
          <w:sz w:val="22"/>
          <w:szCs w:val="22"/>
          <w:highlight w:val="none"/>
          <w:lang w:val="en-US" w:eastAsia="zh-CN"/>
        </w:rPr>
        <w:t>民法典</w:t>
      </w:r>
      <w:r>
        <w:rPr>
          <w:rFonts w:hint="eastAsia" w:ascii="宋体" w:hAnsi="宋体" w:eastAsia="宋体" w:cs="宋体"/>
          <w:color w:val="auto"/>
          <w:sz w:val="22"/>
          <w:szCs w:val="22"/>
          <w:highlight w:val="none"/>
        </w:rPr>
        <w:t>》等有关法律法规精神，发行方经过公开招标的采购方式确定</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为温州市铁路与轨道交通投资集团有限公司</w:t>
      </w:r>
      <w:r>
        <w:rPr>
          <w:rFonts w:hint="eastAsia" w:ascii="宋体" w:hAnsi="宋体" w:eastAsia="宋体" w:cs="宋体"/>
          <w:b w:val="0"/>
          <w:bCs w:val="0"/>
          <w:color w:val="auto"/>
          <w:kern w:val="2"/>
          <w:sz w:val="22"/>
          <w:szCs w:val="22"/>
          <w:highlight w:val="none"/>
          <w:lang w:eastAsia="zh-CN"/>
        </w:rPr>
        <w:t>2023年超短期融资券承销服务</w:t>
      </w:r>
      <w:r>
        <w:rPr>
          <w:rFonts w:hint="eastAsia" w:ascii="宋体" w:hAnsi="宋体" w:eastAsia="宋体" w:cs="宋体"/>
          <w:color w:val="auto"/>
          <w:sz w:val="22"/>
          <w:szCs w:val="22"/>
          <w:highlight w:val="none"/>
        </w:rPr>
        <w:t>项目主承销商，</w:t>
      </w:r>
      <w:r>
        <w:rPr>
          <w:rFonts w:hint="eastAsia" w:ascii="宋体" w:hAnsi="宋体" w:eastAsia="宋体" w:cs="宋体"/>
          <w:color w:val="auto"/>
          <w:sz w:val="22"/>
          <w:szCs w:val="22"/>
          <w:highlight w:val="none"/>
          <w:lang w:val="en-US" w:eastAsia="zh-CN"/>
        </w:rPr>
        <w:t>其中乙1方</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en-US" w:eastAsia="zh-CN"/>
        </w:rPr>
        <w:t>为牵头主承销商。</w:t>
      </w:r>
    </w:p>
    <w:p>
      <w:pPr>
        <w:spacing w:before="156" w:after="156" w:line="360" w:lineRule="auto"/>
        <w:ind w:firstLine="41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如</w:t>
      </w:r>
      <w:r>
        <w:rPr>
          <w:rFonts w:hint="eastAsia" w:ascii="宋体" w:hAnsi="宋体" w:eastAsia="宋体" w:cs="宋体"/>
          <w:color w:val="auto"/>
          <w:sz w:val="22"/>
          <w:szCs w:val="22"/>
          <w:highlight w:val="none"/>
        </w:rPr>
        <w:t>牵头主承销商</w:t>
      </w:r>
      <w:r>
        <w:rPr>
          <w:rFonts w:hint="eastAsia" w:ascii="宋体" w:hAnsi="宋体" w:eastAsia="宋体" w:cs="宋体"/>
          <w:color w:val="auto"/>
          <w:sz w:val="22"/>
          <w:szCs w:val="22"/>
          <w:highlight w:val="none"/>
          <w:lang w:val="en-US" w:eastAsia="zh-CN"/>
        </w:rPr>
        <w:t>未按要求完成注册工作的，发行方有权取消其牵头主承销商资格，由</w:t>
      </w:r>
      <w:r>
        <w:rPr>
          <w:rFonts w:hint="eastAsia" w:ascii="宋体" w:hAnsi="宋体" w:eastAsia="宋体" w:cs="宋体"/>
          <w:color w:val="auto"/>
          <w:sz w:val="22"/>
          <w:szCs w:val="22"/>
          <w:highlight w:val="none"/>
        </w:rPr>
        <w:t>主承销商</w:t>
      </w:r>
      <w:r>
        <w:rPr>
          <w:rFonts w:hint="eastAsia" w:ascii="宋体" w:hAnsi="宋体" w:eastAsia="宋体" w:cs="宋体"/>
          <w:color w:val="auto"/>
          <w:sz w:val="22"/>
          <w:szCs w:val="22"/>
          <w:highlight w:val="none"/>
          <w:lang w:val="en-US" w:eastAsia="zh-CN"/>
        </w:rPr>
        <w:t>库中符合条件的其他主承销商依次递补。</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双</w:t>
      </w:r>
      <w:r>
        <w:rPr>
          <w:rFonts w:hint="eastAsia" w:ascii="宋体" w:hAnsi="宋体" w:eastAsia="宋体" w:cs="宋体"/>
          <w:color w:val="auto"/>
          <w:sz w:val="22"/>
          <w:szCs w:val="22"/>
          <w:highlight w:val="none"/>
        </w:rPr>
        <w:t>方经协商达成以下条款：</w:t>
      </w:r>
    </w:p>
    <w:p>
      <w:pPr>
        <w:pStyle w:val="24"/>
        <w:spacing w:before="156" w:after="156" w:line="360" w:lineRule="auto"/>
        <w:ind w:firstLine="442" w:firstLineChars="20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lang w:val="en-US" w:eastAsia="zh-CN"/>
        </w:rPr>
        <w:t>1.</w:t>
      </w:r>
      <w:r>
        <w:rPr>
          <w:rFonts w:hint="eastAsia" w:ascii="宋体" w:hAnsi="宋体" w:eastAsia="宋体" w:cs="宋体"/>
          <w:color w:val="auto"/>
          <w:sz w:val="22"/>
          <w:szCs w:val="22"/>
          <w:highlight w:val="none"/>
        </w:rPr>
        <w:t>基于主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就本协议项下某期债务融资工具发行为发行方提供的承销服务，发行成功后，每</w:t>
      </w:r>
      <w:r>
        <w:rPr>
          <w:rFonts w:hint="eastAsia" w:ascii="宋体" w:hAnsi="宋体" w:eastAsia="宋体" w:cs="宋体"/>
          <w:color w:val="auto"/>
          <w:sz w:val="22"/>
          <w:szCs w:val="22"/>
          <w:highlight w:val="none"/>
          <w:lang w:val="en-US" w:eastAsia="zh-CN"/>
        </w:rPr>
        <w:t>期</w:t>
      </w:r>
      <w:r>
        <w:rPr>
          <w:rFonts w:hint="eastAsia" w:ascii="宋体" w:hAnsi="宋体" w:eastAsia="宋体" w:cs="宋体"/>
          <w:color w:val="auto"/>
          <w:sz w:val="22"/>
          <w:szCs w:val="22"/>
          <w:highlight w:val="none"/>
        </w:rPr>
        <w:t>超短融承销费由簿记管理人在缴款日从募集资金中一次性扣收。承销费计算方式如下：</w:t>
      </w:r>
    </w:p>
    <w:p>
      <w:pPr>
        <w:pStyle w:val="24"/>
        <w:spacing w:before="156" w:after="156"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承销费＝当期债务融资工具发行面值总额×年承销费率×发行期限（天）/365。</w:t>
      </w:r>
    </w:p>
    <w:p>
      <w:pPr>
        <w:pStyle w:val="24"/>
        <w:spacing w:before="156" w:after="156"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本协议项下债务融资工具年承销费率为：</w:t>
      </w:r>
    </w:p>
    <w:p>
      <w:pPr>
        <w:pStyle w:val="24"/>
        <w:spacing w:before="156" w:after="156"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______%；</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增值税特别约定</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本合同项下发行方向主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支付的承销费为含税包干价格，在合同履行期间包干的含税总价不予调整。</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发行方要求主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开具增值税发票的，应先在主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处办理信息登记，登记信息包括发行方全称、纳税人识别号或社会信用代码、地址、电话、开户银行和账号。发行方应确保提供给主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的相关信息真实、准确和完整，并按照主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要求提供相关证明资料，具体要求由主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通过网点通知或网站公告等发布。</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发行方选择自行领取增值税发票的，需向主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提供加盖印章的授权委托书，指定领取人，并明确领取人身份证号等信息，由指定领取人凭身份证原件领取增值税发票；指定领取人发生变更的，发行方需重新向主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出具加盖印章的授权委托书。发行方选择邮寄方式收取增值税发票的，还应提供准确无误且可送达的邮寄信息；若邮寄信息发生变更的，应及时书面通知主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因自然灾害、政府行为、社会异常事件等不可抗力或税务机关原因导致主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不能及时开具增值税发票的，主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有权延迟开票，并不承担任何责任。</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增值税发票被发行方收到后发生发票丢失、破损或逾期等非主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原因，导致发行方无法收到增值税发票相应联次或逾期无法抵扣的，主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不负责赔偿发行方相关经济损失。</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由于发生销售退回</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应税服务中止或开票有误</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抵扣联、发票联均无法认证等情形，需要开具增值税红字专用发票的，根据相关法律、法规及政策性文件规定需要由发行方向税务机关提交《开具红字增值税专用发票信息表》的，应由发行方向税务机关提交《开具红字增值税专用发票信息表》，待税务机关审核并通知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后，主</w:t>
      </w:r>
      <w:r>
        <w:rPr>
          <w:rFonts w:hint="eastAsia" w:ascii="宋体" w:hAnsi="宋体" w:eastAsia="宋体" w:cs="宋体"/>
          <w:color w:val="auto"/>
          <w:sz w:val="22"/>
          <w:szCs w:val="22"/>
          <w:highlight w:val="none"/>
          <w:lang w:eastAsia="zh-CN"/>
        </w:rPr>
        <w:t>承销商</w:t>
      </w:r>
      <w:r>
        <w:rPr>
          <w:rFonts w:hint="eastAsia" w:ascii="宋体" w:hAnsi="宋体" w:eastAsia="宋体" w:cs="宋体"/>
          <w:color w:val="auto"/>
          <w:sz w:val="22"/>
          <w:szCs w:val="22"/>
          <w:highlight w:val="none"/>
        </w:rPr>
        <w:t>开具红字增值税专用发票。</w:t>
      </w:r>
    </w:p>
    <w:p>
      <w:pPr>
        <w:spacing w:before="156" w:after="156" w:line="360" w:lineRule="auto"/>
        <w:ind w:firstLine="41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3.主承销商确定及签约方式</w:t>
      </w:r>
    </w:p>
    <w:p>
      <w:pPr>
        <w:spacing w:before="156" w:after="156" w:line="360" w:lineRule="auto"/>
        <w:ind w:firstLine="411"/>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本次</w:t>
      </w:r>
      <w:r>
        <w:rPr>
          <w:rFonts w:hint="eastAsia" w:ascii="宋体" w:hAnsi="宋体" w:eastAsia="宋体" w:cs="宋体"/>
          <w:color w:val="auto"/>
          <w:sz w:val="22"/>
          <w:szCs w:val="22"/>
          <w:highlight w:val="none"/>
          <w:lang w:val="en-US" w:eastAsia="zh-CN"/>
        </w:rPr>
        <w:t>超短期融资券首期</w:t>
      </w:r>
      <w:r>
        <w:rPr>
          <w:rFonts w:hint="eastAsia" w:ascii="宋体" w:hAnsi="宋体" w:eastAsia="宋体" w:cs="宋体"/>
          <w:color w:val="auto"/>
          <w:sz w:val="22"/>
          <w:szCs w:val="22"/>
          <w:highlight w:val="none"/>
        </w:rPr>
        <w:t>发行工作</w:t>
      </w:r>
      <w:r>
        <w:rPr>
          <w:rFonts w:hint="eastAsia" w:ascii="宋体" w:hAnsi="宋体" w:eastAsia="宋体" w:cs="宋体"/>
          <w:color w:val="auto"/>
          <w:sz w:val="22"/>
          <w:szCs w:val="22"/>
          <w:highlight w:val="none"/>
          <w:lang w:val="en-US" w:eastAsia="zh-CN"/>
        </w:rPr>
        <w:t>由牵头主承销商</w:t>
      </w:r>
      <w:r>
        <w:rPr>
          <w:rFonts w:hint="eastAsia" w:ascii="宋体" w:hAnsi="宋体" w:eastAsia="宋体" w:cs="宋体"/>
          <w:color w:val="auto"/>
          <w:sz w:val="22"/>
          <w:szCs w:val="22"/>
          <w:highlight w:val="none"/>
        </w:rPr>
        <w:t>完成</w:t>
      </w:r>
      <w:r>
        <w:rPr>
          <w:rFonts w:hint="eastAsia" w:ascii="宋体" w:hAnsi="宋体" w:eastAsia="宋体" w:cs="宋体"/>
          <w:color w:val="auto"/>
          <w:sz w:val="22"/>
          <w:szCs w:val="22"/>
          <w:highlight w:val="none"/>
          <w:lang w:eastAsia="zh-CN"/>
        </w:rPr>
        <w:t>；</w:t>
      </w:r>
    </w:p>
    <w:p>
      <w:pPr>
        <w:spacing w:before="156" w:after="156" w:line="360" w:lineRule="auto"/>
        <w:ind w:firstLine="411"/>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2）</w:t>
      </w:r>
      <w:r>
        <w:rPr>
          <w:rFonts w:hint="eastAsia" w:ascii="宋体" w:hAnsi="宋体" w:eastAsia="宋体" w:cs="宋体"/>
          <w:bCs/>
          <w:color w:val="auto"/>
          <w:sz w:val="22"/>
          <w:szCs w:val="22"/>
          <w:highlight w:val="none"/>
        </w:rPr>
        <w:t>其他</w:t>
      </w:r>
      <w:r>
        <w:rPr>
          <w:rFonts w:hint="eastAsia" w:ascii="宋体" w:hAnsi="宋体" w:eastAsia="宋体" w:cs="宋体"/>
          <w:bCs/>
          <w:color w:val="auto"/>
          <w:sz w:val="22"/>
          <w:szCs w:val="22"/>
          <w:highlight w:val="none"/>
          <w:lang w:val="en-US" w:eastAsia="zh-CN"/>
        </w:rPr>
        <w:t>各</w:t>
      </w:r>
      <w:r>
        <w:rPr>
          <w:rFonts w:hint="eastAsia" w:ascii="宋体" w:hAnsi="宋体" w:eastAsia="宋体" w:cs="宋体"/>
          <w:bCs/>
          <w:color w:val="auto"/>
          <w:sz w:val="22"/>
          <w:szCs w:val="22"/>
          <w:highlight w:val="none"/>
        </w:rPr>
        <w:t>主承销商在本次超短期融资券其他各期发行前承销商需提供不少于当期发行额度的授信</w:t>
      </w:r>
      <w:r>
        <w:rPr>
          <w:rFonts w:hint="eastAsia" w:ascii="宋体" w:hAnsi="宋体" w:eastAsia="宋体" w:cs="宋体"/>
          <w:bCs/>
          <w:color w:val="auto"/>
          <w:sz w:val="22"/>
          <w:szCs w:val="22"/>
          <w:highlight w:val="none"/>
          <w:lang w:eastAsia="zh-CN"/>
        </w:rPr>
        <w:t>；</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本次超短期融资券注册项下其他各期发行前，由</w:t>
      </w:r>
      <w:r>
        <w:rPr>
          <w:rFonts w:hint="eastAsia" w:ascii="宋体" w:hAnsi="宋体" w:eastAsia="宋体" w:cs="宋体"/>
          <w:color w:val="auto"/>
          <w:sz w:val="22"/>
          <w:szCs w:val="22"/>
          <w:highlight w:val="none"/>
          <w:lang w:eastAsia="zh-CN"/>
        </w:rPr>
        <w:t>库内各主承销商</w:t>
      </w:r>
      <w:r>
        <w:rPr>
          <w:rFonts w:hint="eastAsia" w:ascii="宋体" w:hAnsi="宋体" w:eastAsia="宋体" w:cs="宋体"/>
          <w:color w:val="auto"/>
          <w:sz w:val="22"/>
          <w:szCs w:val="22"/>
          <w:highlight w:val="none"/>
          <w:lang w:val="en-US" w:eastAsia="zh-CN"/>
        </w:rPr>
        <w:t>在发行方规定的时间内</w:t>
      </w:r>
      <w:r>
        <w:rPr>
          <w:rFonts w:hint="eastAsia" w:ascii="宋体" w:hAnsi="宋体" w:eastAsia="宋体" w:cs="宋体"/>
          <w:color w:val="auto"/>
          <w:sz w:val="22"/>
          <w:szCs w:val="22"/>
          <w:highlight w:val="none"/>
        </w:rPr>
        <w:t>通过邮件的形式报送综合发行方案（含承销费和预计票面利率），方案最优者确定为当期主承销商，若存在并列情况可联席发行；若实际发行结果与综合发行方案相符，</w:t>
      </w:r>
      <w:r>
        <w:rPr>
          <w:rFonts w:hint="eastAsia" w:ascii="宋体" w:hAnsi="宋体" w:eastAsia="宋体" w:cs="宋体"/>
          <w:color w:val="auto"/>
          <w:sz w:val="22"/>
          <w:szCs w:val="22"/>
          <w:highlight w:val="none"/>
          <w:lang w:eastAsia="zh-CN"/>
        </w:rPr>
        <w:t>该主承销商</w:t>
      </w:r>
      <w:r>
        <w:rPr>
          <w:rFonts w:hint="eastAsia" w:ascii="宋体" w:hAnsi="宋体" w:eastAsia="宋体" w:cs="宋体"/>
          <w:color w:val="auto"/>
          <w:sz w:val="22"/>
          <w:szCs w:val="22"/>
          <w:highlight w:val="none"/>
        </w:rPr>
        <w:t>可继续参与后续发行；否则发行方有权单方面终止</w:t>
      </w:r>
      <w:r>
        <w:rPr>
          <w:rFonts w:hint="eastAsia" w:ascii="宋体" w:hAnsi="宋体" w:eastAsia="宋体" w:cs="宋体"/>
          <w:color w:val="auto"/>
          <w:sz w:val="22"/>
          <w:szCs w:val="22"/>
          <w:highlight w:val="none"/>
          <w:lang w:eastAsia="zh-CN"/>
        </w:rPr>
        <w:t>与其签订的</w:t>
      </w:r>
      <w:r>
        <w:rPr>
          <w:rFonts w:hint="eastAsia" w:ascii="宋体" w:hAnsi="宋体" w:eastAsia="宋体" w:cs="宋体"/>
          <w:color w:val="auto"/>
          <w:sz w:val="22"/>
          <w:szCs w:val="22"/>
          <w:highlight w:val="none"/>
        </w:rPr>
        <w:t>协议，该承销商不得参与本次超短期融资券注册项下</w:t>
      </w:r>
      <w:r>
        <w:rPr>
          <w:rFonts w:hint="eastAsia" w:ascii="宋体" w:hAnsi="宋体" w:eastAsia="宋体" w:cs="宋体"/>
          <w:color w:val="auto"/>
          <w:sz w:val="22"/>
          <w:szCs w:val="22"/>
          <w:highlight w:val="none"/>
          <w:lang w:val="en-US" w:eastAsia="zh-CN"/>
        </w:rPr>
        <w:t>后续</w:t>
      </w:r>
      <w:r>
        <w:rPr>
          <w:rFonts w:hint="eastAsia" w:ascii="宋体" w:hAnsi="宋体" w:eastAsia="宋体" w:cs="宋体"/>
          <w:color w:val="auto"/>
          <w:sz w:val="22"/>
          <w:szCs w:val="22"/>
          <w:highlight w:val="none"/>
        </w:rPr>
        <w:t>发行。</w:t>
      </w:r>
    </w:p>
    <w:p>
      <w:pPr>
        <w:spacing w:before="156" w:after="156" w:line="360" w:lineRule="auto"/>
        <w:ind w:firstLine="41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4）发行方与牵头主承销商及各联席主承销商</w:t>
      </w:r>
      <w:r>
        <w:rPr>
          <w:rFonts w:hint="eastAsia" w:ascii="宋体" w:hAnsi="宋体" w:eastAsia="宋体" w:cs="宋体"/>
          <w:color w:val="auto"/>
          <w:sz w:val="22"/>
          <w:szCs w:val="22"/>
          <w:highlight w:val="none"/>
        </w:rPr>
        <w:t>分别</w:t>
      </w:r>
      <w:r>
        <w:rPr>
          <w:rFonts w:hint="eastAsia" w:ascii="宋体" w:hAnsi="宋体" w:eastAsia="宋体" w:cs="宋体"/>
          <w:color w:val="auto"/>
          <w:sz w:val="22"/>
          <w:szCs w:val="22"/>
          <w:highlight w:val="none"/>
          <w:lang w:val="en-US" w:eastAsia="zh-CN"/>
        </w:rPr>
        <w:t>单独</w:t>
      </w:r>
      <w:r>
        <w:rPr>
          <w:rFonts w:hint="eastAsia" w:ascii="宋体" w:hAnsi="宋体" w:eastAsia="宋体" w:cs="宋体"/>
          <w:color w:val="auto"/>
          <w:sz w:val="22"/>
          <w:szCs w:val="22"/>
          <w:highlight w:val="none"/>
        </w:rPr>
        <w:t>签订</w:t>
      </w:r>
      <w:r>
        <w:rPr>
          <w:rFonts w:hint="eastAsia" w:ascii="宋体" w:hAnsi="宋体" w:eastAsia="宋体" w:cs="宋体"/>
          <w:color w:val="auto"/>
          <w:sz w:val="22"/>
          <w:szCs w:val="22"/>
          <w:highlight w:val="none"/>
          <w:lang w:val="en-US" w:eastAsia="zh-CN"/>
        </w:rPr>
        <w:t>本</w:t>
      </w:r>
      <w:r>
        <w:rPr>
          <w:rFonts w:hint="eastAsia" w:ascii="宋体" w:hAnsi="宋体" w:eastAsia="宋体" w:cs="宋体"/>
          <w:color w:val="auto"/>
          <w:sz w:val="22"/>
          <w:szCs w:val="22"/>
          <w:highlight w:val="none"/>
        </w:rPr>
        <w:t>合作协议</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并与牵头主承销商及确定为其他各期发行主承销商签订承销协议（2013版）。</w:t>
      </w:r>
    </w:p>
    <w:p>
      <w:pPr>
        <w:spacing w:line="276" w:lineRule="auto"/>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争议纠纷解决方式</w:t>
      </w:r>
    </w:p>
    <w:p>
      <w:pPr>
        <w:spacing w:line="276"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双方同意，就本</w:t>
      </w:r>
      <w:r>
        <w:rPr>
          <w:rFonts w:hint="eastAsia" w:ascii="宋体" w:hAnsi="宋体" w:eastAsia="宋体" w:cs="宋体"/>
          <w:color w:val="auto"/>
          <w:sz w:val="22"/>
          <w:szCs w:val="22"/>
          <w:highlight w:val="none"/>
          <w:lang w:val="en-US" w:eastAsia="zh-CN"/>
        </w:rPr>
        <w:t>协议</w:t>
      </w:r>
      <w:r>
        <w:rPr>
          <w:rFonts w:hint="eastAsia" w:ascii="宋体" w:hAnsi="宋体" w:eastAsia="宋体" w:cs="宋体"/>
          <w:color w:val="auto"/>
          <w:sz w:val="22"/>
          <w:szCs w:val="22"/>
          <w:highlight w:val="none"/>
        </w:rPr>
        <w:t>履行而发生的任何争议，在无法通过协商和调解方式解决的情况下，</w:t>
      </w:r>
      <w:r>
        <w:rPr>
          <w:rFonts w:hint="eastAsia" w:ascii="宋体" w:hAnsi="宋体" w:eastAsia="宋体" w:cs="宋体"/>
          <w:color w:val="auto"/>
          <w:sz w:val="22"/>
          <w:szCs w:val="22"/>
          <w:highlight w:val="none"/>
          <w:lang w:val="en-US" w:eastAsia="zh-CN"/>
        </w:rPr>
        <w:t>同意</w:t>
      </w:r>
      <w:r>
        <w:rPr>
          <w:rFonts w:hint="eastAsia" w:ascii="宋体" w:hAnsi="宋体" w:eastAsia="宋体" w:cs="宋体"/>
          <w:color w:val="auto"/>
          <w:sz w:val="22"/>
          <w:szCs w:val="22"/>
          <w:highlight w:val="none"/>
        </w:rPr>
        <w:t>向温州仲裁委员会申请仲裁。</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本协议</w:t>
      </w:r>
      <w:r>
        <w:rPr>
          <w:rFonts w:hint="eastAsia" w:ascii="宋体" w:hAnsi="宋体" w:eastAsia="宋体" w:cs="宋体"/>
          <w:color w:val="auto"/>
          <w:sz w:val="22"/>
          <w:szCs w:val="22"/>
          <w:highlight w:val="none"/>
          <w:lang w:val="en-US" w:eastAsia="zh-CN"/>
        </w:rPr>
        <w:t>一</w:t>
      </w:r>
      <w:r>
        <w:rPr>
          <w:rFonts w:hint="eastAsia" w:ascii="宋体" w:hAnsi="宋体" w:eastAsia="宋体" w:cs="宋体"/>
          <w:color w:val="auto"/>
          <w:sz w:val="22"/>
          <w:szCs w:val="22"/>
          <w:highlight w:val="none"/>
        </w:rPr>
        <w:t>式【</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】份，</w:t>
      </w:r>
      <w:r>
        <w:rPr>
          <w:rFonts w:hint="eastAsia" w:ascii="宋体" w:hAnsi="宋体" w:eastAsia="宋体" w:cs="宋体"/>
          <w:color w:val="auto"/>
          <w:sz w:val="22"/>
          <w:szCs w:val="22"/>
          <w:highlight w:val="none"/>
          <w:lang w:val="en-US" w:eastAsia="zh-CN"/>
        </w:rPr>
        <w:t>甲方</w:t>
      </w:r>
      <w:r>
        <w:rPr>
          <w:rFonts w:hint="eastAsia" w:ascii="宋体" w:hAnsi="宋体" w:eastAsia="宋体" w:cs="宋体"/>
          <w:color w:val="auto"/>
          <w:sz w:val="22"/>
          <w:szCs w:val="22"/>
          <w:highlight w:val="none"/>
        </w:rPr>
        <w:t>执【</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】份，</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执【</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】份</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经双方</w:t>
      </w:r>
      <w:r>
        <w:rPr>
          <w:rFonts w:hint="eastAsia" w:ascii="宋体" w:hAnsi="宋体" w:eastAsia="宋体" w:cs="宋体"/>
          <w:color w:val="auto"/>
          <w:sz w:val="22"/>
          <w:szCs w:val="22"/>
          <w:highlight w:val="none"/>
        </w:rPr>
        <w:t>法定代表人（或其</w:t>
      </w:r>
      <w:r>
        <w:rPr>
          <w:rFonts w:hint="eastAsia" w:ascii="宋体" w:hAnsi="宋体" w:eastAsia="宋体" w:cs="宋体"/>
          <w:color w:val="auto"/>
          <w:sz w:val="22"/>
          <w:szCs w:val="22"/>
          <w:highlight w:val="none"/>
          <w:lang w:val="en-US" w:eastAsia="zh-CN"/>
        </w:rPr>
        <w:t>授权代表</w:t>
      </w:r>
      <w:r>
        <w:rPr>
          <w:rFonts w:hint="eastAsia" w:ascii="宋体" w:hAnsi="宋体" w:eastAsia="宋体" w:cs="宋体"/>
          <w:color w:val="auto"/>
          <w:sz w:val="22"/>
          <w:szCs w:val="22"/>
          <w:highlight w:val="none"/>
        </w:rPr>
        <w:t>人）签字或盖章并盖单位章后</w:t>
      </w:r>
      <w:r>
        <w:rPr>
          <w:rFonts w:hint="eastAsia" w:ascii="宋体" w:hAnsi="宋体" w:eastAsia="宋体" w:cs="宋体"/>
          <w:color w:val="auto"/>
          <w:sz w:val="22"/>
          <w:szCs w:val="22"/>
          <w:highlight w:val="none"/>
          <w:lang w:val="en-US" w:eastAsia="zh-CN"/>
        </w:rPr>
        <w:t>生效，</w:t>
      </w:r>
      <w:r>
        <w:rPr>
          <w:rFonts w:hint="eastAsia" w:ascii="宋体" w:hAnsi="宋体" w:eastAsia="宋体" w:cs="宋体"/>
          <w:color w:val="auto"/>
          <w:sz w:val="22"/>
          <w:szCs w:val="22"/>
          <w:highlight w:val="none"/>
        </w:rPr>
        <w:t>每份具有同等法律效力。本协议与承销协议如有任何冲突，以本协议为准。未尽事宜，以承销协议为准。</w:t>
      </w:r>
    </w:p>
    <w:p>
      <w:pPr>
        <w:autoSpaceDE w:val="0"/>
        <w:autoSpaceDN w:val="0"/>
        <w:adjustRightInd w:val="0"/>
        <w:ind w:firstLine="220" w:firstLineChars="100"/>
        <w:outlineLvl w:val="1"/>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附件1：国企采购项目廉政责任书</w:t>
      </w:r>
    </w:p>
    <w:p>
      <w:pPr>
        <w:spacing w:before="156" w:after="156" w:line="360" w:lineRule="auto"/>
        <w:ind w:firstLine="411"/>
        <w:rPr>
          <w:rFonts w:hint="eastAsia" w:ascii="宋体" w:hAnsi="宋体" w:eastAsia="宋体" w:cs="宋体"/>
          <w:color w:val="auto"/>
          <w:sz w:val="22"/>
          <w:szCs w:val="22"/>
          <w:highlight w:val="none"/>
        </w:rPr>
      </w:pPr>
    </w:p>
    <w:p>
      <w:pPr>
        <w:spacing w:before="156" w:after="156" w:line="360" w:lineRule="auto"/>
        <w:ind w:firstLine="411"/>
        <w:rPr>
          <w:rFonts w:hint="eastAsia" w:ascii="宋体" w:hAnsi="宋体" w:eastAsia="宋体" w:cs="宋体"/>
          <w:color w:val="auto"/>
          <w:sz w:val="22"/>
          <w:szCs w:val="22"/>
          <w:highlight w:val="none"/>
        </w:rPr>
      </w:pP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甲方/发行方：温州市铁路与轨道交通投资集团有限公司（</w:t>
      </w:r>
      <w:r>
        <w:rPr>
          <w:rFonts w:hint="eastAsia" w:ascii="宋体" w:hAnsi="宋体" w:eastAsia="宋体" w:cs="宋体"/>
          <w:color w:val="auto"/>
          <w:sz w:val="22"/>
          <w:szCs w:val="22"/>
          <w:highlight w:val="none"/>
          <w:lang w:val="en-US" w:eastAsia="zh-CN"/>
        </w:rPr>
        <w:t>盖</w:t>
      </w:r>
      <w:r>
        <w:rPr>
          <w:rFonts w:hint="eastAsia" w:ascii="宋体" w:hAnsi="宋体" w:eastAsia="宋体" w:cs="宋体"/>
          <w:color w:val="auto"/>
          <w:sz w:val="22"/>
          <w:szCs w:val="22"/>
          <w:highlight w:val="none"/>
        </w:rPr>
        <w:t>章）</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法定代表人或授权代表人 （签</w:t>
      </w:r>
      <w:r>
        <w:rPr>
          <w:rFonts w:hint="eastAsia" w:ascii="宋体" w:hAnsi="宋体" w:eastAsia="宋体" w:cs="宋体"/>
          <w:color w:val="auto"/>
          <w:sz w:val="22"/>
          <w:szCs w:val="22"/>
          <w:highlight w:val="none"/>
          <w:lang w:val="en-US" w:eastAsia="zh-CN"/>
        </w:rPr>
        <w:t>章</w:t>
      </w:r>
      <w:r>
        <w:rPr>
          <w:rFonts w:hint="eastAsia" w:ascii="宋体" w:hAnsi="宋体" w:eastAsia="宋体" w:cs="宋体"/>
          <w:color w:val="auto"/>
          <w:sz w:val="22"/>
          <w:szCs w:val="22"/>
          <w:highlight w:val="none"/>
        </w:rPr>
        <w:t>）</w:t>
      </w:r>
    </w:p>
    <w:p>
      <w:pPr>
        <w:spacing w:before="156" w:after="156" w:line="360" w:lineRule="auto"/>
        <w:ind w:firstLine="1144" w:firstLineChars="5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月     日</w:t>
      </w:r>
    </w:p>
    <w:p>
      <w:pPr>
        <w:spacing w:before="156" w:after="156" w:line="360" w:lineRule="auto"/>
        <w:ind w:firstLine="1144" w:firstLineChars="520"/>
        <w:rPr>
          <w:rFonts w:hint="eastAsia" w:ascii="宋体" w:hAnsi="宋体" w:eastAsia="宋体" w:cs="宋体"/>
          <w:color w:val="auto"/>
          <w:sz w:val="22"/>
          <w:szCs w:val="22"/>
          <w:highlight w:val="none"/>
        </w:rPr>
      </w:pP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      （</w:t>
      </w:r>
      <w:r>
        <w:rPr>
          <w:rFonts w:hint="eastAsia" w:ascii="宋体" w:hAnsi="宋体" w:eastAsia="宋体" w:cs="宋体"/>
          <w:color w:val="auto"/>
          <w:sz w:val="22"/>
          <w:szCs w:val="22"/>
          <w:highlight w:val="none"/>
          <w:lang w:val="en-US" w:eastAsia="zh-CN"/>
        </w:rPr>
        <w:t>盖</w:t>
      </w:r>
      <w:r>
        <w:rPr>
          <w:rFonts w:hint="eastAsia" w:ascii="宋体" w:hAnsi="宋体" w:eastAsia="宋体" w:cs="宋体"/>
          <w:color w:val="auto"/>
          <w:sz w:val="22"/>
          <w:szCs w:val="22"/>
          <w:highlight w:val="none"/>
        </w:rPr>
        <w:t>章）</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法定代表人或授权代表人 （签</w:t>
      </w:r>
      <w:r>
        <w:rPr>
          <w:rFonts w:hint="eastAsia" w:ascii="宋体" w:hAnsi="宋体" w:eastAsia="宋体" w:cs="宋体"/>
          <w:color w:val="auto"/>
          <w:sz w:val="22"/>
          <w:szCs w:val="22"/>
          <w:highlight w:val="none"/>
          <w:lang w:val="en-US" w:eastAsia="zh-CN"/>
        </w:rPr>
        <w:t>章</w:t>
      </w:r>
      <w:r>
        <w:rPr>
          <w:rFonts w:hint="eastAsia" w:ascii="宋体" w:hAnsi="宋体" w:eastAsia="宋体" w:cs="宋体"/>
          <w:color w:val="auto"/>
          <w:sz w:val="22"/>
          <w:szCs w:val="22"/>
          <w:highlight w:val="none"/>
        </w:rPr>
        <w:t>）</w:t>
      </w:r>
    </w:p>
    <w:p>
      <w:pPr>
        <w:spacing w:before="156" w:after="156" w:line="360" w:lineRule="auto"/>
        <w:ind w:firstLine="1144" w:firstLineChars="5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月     日</w:t>
      </w: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spacing w:before="156" w:after="156"/>
        <w:jc w:val="center"/>
        <w:rPr>
          <w:rFonts w:hint="eastAsia" w:ascii="宋体" w:hAnsi="宋体" w:eastAsia="宋体" w:cs="宋体"/>
          <w:color w:val="auto"/>
          <w:spacing w:val="-2"/>
          <w:sz w:val="48"/>
          <w:szCs w:val="48"/>
          <w:highlight w:val="none"/>
          <w:lang w:val="en-US" w:eastAsia="zh-CN"/>
        </w:rPr>
      </w:pPr>
    </w:p>
    <w:p>
      <w:pPr>
        <w:autoSpaceDE w:val="0"/>
        <w:autoSpaceDN w:val="0"/>
        <w:adjustRightInd w:val="0"/>
        <w:outlineLvl w:val="1"/>
        <w:rPr>
          <w:rFonts w:hint="eastAsia" w:ascii="宋体" w:hAnsi="宋体" w:eastAsia="宋体" w:cs="宋体"/>
          <w:bCs/>
          <w:color w:val="auto"/>
          <w:kern w:val="0"/>
          <w:sz w:val="28"/>
          <w:szCs w:val="28"/>
          <w:highlight w:val="none"/>
        </w:rPr>
      </w:pPr>
      <w:r>
        <w:rPr>
          <w:rFonts w:hint="eastAsia" w:ascii="宋体" w:hAnsi="宋体" w:eastAsia="宋体" w:cs="宋体"/>
          <w:color w:val="auto"/>
          <w:spacing w:val="-2"/>
          <w:sz w:val="48"/>
          <w:szCs w:val="48"/>
          <w:highlight w:val="none"/>
          <w:lang w:val="en-US" w:eastAsia="zh-CN"/>
        </w:rPr>
        <w:br w:type="page"/>
      </w:r>
      <w:r>
        <w:rPr>
          <w:rFonts w:hint="eastAsia" w:ascii="宋体" w:hAnsi="宋体" w:eastAsia="宋体" w:cs="宋体"/>
          <w:bCs/>
          <w:color w:val="auto"/>
          <w:kern w:val="0"/>
          <w:sz w:val="28"/>
          <w:szCs w:val="28"/>
          <w:highlight w:val="none"/>
        </w:rPr>
        <w:t>附件1：国企采购项目廉政责任书</w:t>
      </w:r>
    </w:p>
    <w:p>
      <w:pPr>
        <w:autoSpaceDE w:val="0"/>
        <w:autoSpaceDN w:val="0"/>
        <w:adjustRightInd w:val="0"/>
        <w:jc w:val="center"/>
        <w:outlineLvl w:val="9"/>
        <w:rPr>
          <w:rFonts w:hint="eastAsia" w:ascii="宋体" w:hAnsi="宋体" w:eastAsia="宋体" w:cs="宋体"/>
          <w:b/>
          <w:bCs/>
          <w:color w:val="auto"/>
          <w:kern w:val="0"/>
          <w:sz w:val="28"/>
          <w:szCs w:val="28"/>
          <w:highlight w:val="none"/>
        </w:rPr>
      </w:pPr>
      <w:bookmarkStart w:id="195" w:name="_Toc11133_WPSOffice_Level2"/>
      <w:r>
        <w:rPr>
          <w:rFonts w:hint="eastAsia" w:ascii="宋体" w:hAnsi="宋体" w:eastAsia="宋体" w:cs="宋体"/>
          <w:b/>
          <w:bCs/>
          <w:color w:val="auto"/>
          <w:kern w:val="0"/>
          <w:sz w:val="28"/>
          <w:szCs w:val="28"/>
          <w:highlight w:val="none"/>
        </w:rPr>
        <w:t>国企采购项目廉政责任书</w:t>
      </w:r>
      <w:bookmarkEnd w:id="195"/>
    </w:p>
    <w:p>
      <w:pPr>
        <w:adjustRightInd w:val="0"/>
        <w:spacing w:line="32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采购项目名称：</w:t>
      </w:r>
      <w:r>
        <w:rPr>
          <w:rFonts w:hint="eastAsia" w:ascii="宋体" w:hAnsi="宋体" w:eastAsia="宋体" w:cs="宋体"/>
          <w:color w:val="auto"/>
          <w:sz w:val="22"/>
          <w:szCs w:val="22"/>
          <w:highlight w:val="none"/>
          <w:lang w:val="en-US" w:eastAsia="zh-CN"/>
        </w:rPr>
        <w:t xml:space="preserve"> </w:t>
      </w:r>
    </w:p>
    <w:p>
      <w:pPr>
        <w:adjustRightInd w:val="0"/>
        <w:spacing w:line="320" w:lineRule="exact"/>
        <w:ind w:firstLine="440" w:firstLineChars="20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none"/>
        </w:rPr>
        <w:t>甲方：</w:t>
      </w:r>
      <w:r>
        <w:rPr>
          <w:rFonts w:hint="eastAsia" w:ascii="宋体" w:hAnsi="宋体" w:eastAsia="宋体" w:cs="宋体"/>
          <w:color w:val="auto"/>
          <w:sz w:val="22"/>
          <w:szCs w:val="22"/>
          <w:highlight w:val="none"/>
          <w:u w:val="single"/>
        </w:rPr>
        <w:t>温州市铁路与轨道交通投资集团有限公司</w:t>
      </w:r>
    </w:p>
    <w:p>
      <w:pPr>
        <w:adjustRightInd w:val="0"/>
        <w:spacing w:line="320" w:lineRule="exact"/>
        <w:ind w:firstLine="440" w:firstLineChars="200"/>
        <w:rPr>
          <w:rFonts w:hint="eastAsia" w:ascii="宋体" w:hAnsi="宋体" w:eastAsia="宋体" w:cs="宋体"/>
          <w:color w:val="auto"/>
          <w:sz w:val="22"/>
          <w:szCs w:val="22"/>
          <w:highlight w:val="none"/>
          <w:u w:val="single" w:color="auto"/>
          <w:lang w:val="en-US" w:eastAsia="zh-CN"/>
        </w:rPr>
      </w:pP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u w:val="none"/>
        </w:rPr>
        <w:t>：</w:t>
      </w:r>
      <w:r>
        <w:rPr>
          <w:rFonts w:hint="eastAsia" w:ascii="宋体" w:hAnsi="宋体" w:eastAsia="宋体" w:cs="宋体"/>
          <w:color w:val="auto"/>
          <w:sz w:val="22"/>
          <w:szCs w:val="22"/>
          <w:highlight w:val="none"/>
          <w:u w:val="single" w:color="auto"/>
          <w:lang w:val="en-US" w:eastAsia="zh-CN"/>
        </w:rPr>
        <w:t xml:space="preserve">                                  </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为加强采购活动中的廉政建设，规范采购项目供需双方的各项活动，防止发生各种谋取不正当利益的违法违纪行为，保护国家、集体和当事人的合法权益，根据国家有关采购的法律法规和廉政建设责任制规定，特订立本廉政责任书。</w:t>
      </w:r>
    </w:p>
    <w:p>
      <w:pPr>
        <w:spacing w:line="400" w:lineRule="exact"/>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b/>
          <w:bCs/>
          <w:color w:val="auto"/>
          <w:sz w:val="22"/>
          <w:szCs w:val="22"/>
          <w:highlight w:val="none"/>
        </w:rPr>
        <w:t>第一条  甲乙</w:t>
      </w:r>
      <w:r>
        <w:rPr>
          <w:rFonts w:hint="eastAsia" w:ascii="宋体" w:hAnsi="宋体" w:eastAsia="宋体" w:cs="宋体"/>
          <w:b/>
          <w:bCs/>
          <w:color w:val="auto"/>
          <w:sz w:val="22"/>
          <w:szCs w:val="22"/>
          <w:highlight w:val="none"/>
          <w:lang w:val="en-US" w:eastAsia="zh-CN"/>
        </w:rPr>
        <w:t>双</w:t>
      </w:r>
      <w:r>
        <w:rPr>
          <w:rFonts w:hint="eastAsia" w:ascii="宋体" w:hAnsi="宋体" w:eastAsia="宋体" w:cs="宋体"/>
          <w:b/>
          <w:bCs/>
          <w:color w:val="auto"/>
          <w:sz w:val="22"/>
          <w:szCs w:val="22"/>
          <w:highlight w:val="none"/>
        </w:rPr>
        <w:t>方的责任</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(一)应严格遵守国家关于市场准入、项目招标投标、工程建设、施工安装和市场活动等有关法律、法规，相关政策，以及廉政建设的各项规定。 </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(二)严格执行采购项目合同文件，自觉按合同办事。</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(三)业务活动必须坚持公开、公平、公正、诚信、透明的原则（除法律法规另有规定者外），不得为获取不正当的利益，损害国家、集体和对方利益，不得违反采购活动、供货安装的规章制度。</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(四)发现对方在业务活动中有违规、违纪、违法行为的，应及时提醒对方，情节严重的，应向其上级主管部门或纪检监察、司法等有关机关举报。</w:t>
      </w:r>
    </w:p>
    <w:p>
      <w:pPr>
        <w:spacing w:line="400" w:lineRule="exact"/>
        <w:ind w:firstLine="43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第二条  甲方的责任</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甲方的领导和从事该采购项目的工作人员，在采购活动的事前、事中、事后应遵守以下规定：</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(一)不准向</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和相关单位索要或接受回扣、礼金、有价证券、贵重物品和好处费、感谢费等。</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(二)不准在</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和相关单位报销任何应由甲方或个人支付的费用。</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(三)不准要求、暗示和接受</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和相关单位为个人装修住房、婚丧嫁娶、配偶子女的工作安排以及出国（境）、旅游等提供方便。</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(四)不准参加有可能影响公正执行公务的</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和相关单位的宴请和健身、娱乐等活动。</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(五)不准向</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介绍或为配偶、子女、亲属参与同甲方采购项目供货合同有关的设备、材料、分包、劳务等经济活动。不得以任何理由向</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和相关单位推荐分包单位和要求</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购买采购项目合同规定以外的材料、设备、服务等。</w:t>
      </w:r>
    </w:p>
    <w:p>
      <w:pPr>
        <w:spacing w:line="400" w:lineRule="exact"/>
        <w:ind w:firstLine="43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第三条  </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b/>
          <w:bCs/>
          <w:color w:val="auto"/>
          <w:sz w:val="22"/>
          <w:szCs w:val="22"/>
          <w:highlight w:val="none"/>
        </w:rPr>
        <w:t>的责任</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应与甲方保持正常的业务交往，按照有关法律法规和程序开展业务工作，严格执行采购活动的有关方针、政策，尤其是有关国企采购活动的强制性标准和规范，并遵守以下规定：</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(一)不准以任何理由向甲方、相关单位及其工作人员索要、接受或赠送礼金，有价证券贵重物品和回扣、好处费、感谢费等。</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(二)不准以任何理由为甲方和相关单位报销应由对方或个人支付的费用。</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(三)不准接受或暗示为甲方、相关单位或个人装修住房、婚丧嫁娶、配偶子女的工作安排以及出国（境）、旅游等提供方便。</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(四)不准以及任何理由为甲方、相关单位或个人组织有可能影响公正执行公务的宴请、健身、娱乐等活动。</w:t>
      </w:r>
    </w:p>
    <w:p>
      <w:pPr>
        <w:spacing w:line="400" w:lineRule="exact"/>
        <w:ind w:left="435" w:leftChars="207" w:firstLine="108" w:firstLineChars="49"/>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第四条  违约责任</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adjustRightInd w:val="0"/>
        <w:spacing w:line="3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w:t>
      </w: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工作人员有违反本责任书第一、三条责任行为的，按照管理权限，依据有关法律法规和规定给予党纪、政纪处分或组织处理；涉嫌犯罪的，移交司法机关追究刑事责任；给甲方单位造成经济损失的，应予以赔偿。</w:t>
      </w:r>
    </w:p>
    <w:p>
      <w:pPr>
        <w:spacing w:line="400" w:lineRule="exact"/>
        <w:ind w:firstLine="433" w:firstLineChars="196"/>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 xml:space="preserve">第五条 </w:t>
      </w:r>
      <w:r>
        <w:rPr>
          <w:rFonts w:hint="eastAsia" w:ascii="宋体" w:hAnsi="宋体" w:eastAsia="宋体" w:cs="宋体"/>
          <w:color w:val="auto"/>
          <w:sz w:val="22"/>
          <w:szCs w:val="22"/>
          <w:highlight w:val="none"/>
        </w:rPr>
        <w:t>本责任书作为采购项目合同的附件，与采购项目合同具有同等法律效力。经签署后立即生效。</w:t>
      </w:r>
    </w:p>
    <w:p>
      <w:pPr>
        <w:spacing w:line="400" w:lineRule="exact"/>
        <w:ind w:left="43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第六条</w:t>
      </w:r>
      <w:r>
        <w:rPr>
          <w:rFonts w:hint="eastAsia" w:ascii="宋体" w:hAnsi="宋体" w:eastAsia="宋体" w:cs="宋体"/>
          <w:color w:val="auto"/>
          <w:sz w:val="22"/>
          <w:szCs w:val="22"/>
          <w:highlight w:val="none"/>
        </w:rPr>
        <w:t xml:space="preserve"> 本责任书的有效期为双方签署之日起至该采购服务期完成为止。</w:t>
      </w:r>
    </w:p>
    <w:p>
      <w:pPr>
        <w:spacing w:line="400" w:lineRule="exact"/>
        <w:ind w:firstLine="431" w:firstLineChars="19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第七条</w:t>
      </w:r>
      <w:r>
        <w:rPr>
          <w:rFonts w:hint="eastAsia" w:ascii="宋体" w:hAnsi="宋体" w:eastAsia="宋体" w:cs="宋体"/>
          <w:color w:val="auto"/>
          <w:sz w:val="22"/>
          <w:szCs w:val="22"/>
          <w:highlight w:val="none"/>
        </w:rPr>
        <w:t xml:space="preserve"> 本责任书一式</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份，由甲</w:t>
      </w:r>
      <w:r>
        <w:rPr>
          <w:rFonts w:hint="eastAsia" w:ascii="宋体" w:hAnsi="宋体" w:eastAsia="宋体" w:cs="宋体"/>
          <w:color w:val="auto"/>
          <w:sz w:val="22"/>
          <w:szCs w:val="22"/>
          <w:highlight w:val="none"/>
          <w:lang w:val="en-US" w:eastAsia="zh-CN"/>
        </w:rPr>
        <w:t>方执</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en-US" w:eastAsia="zh-CN"/>
        </w:rPr>
        <w:t>份，乙ｎ方执</w:t>
      </w:r>
      <w:r>
        <w:rPr>
          <w:rFonts w:hint="eastAsia" w:ascii="宋体" w:hAnsi="宋体" w:eastAsia="宋体" w:cs="宋体"/>
          <w:color w:val="auto"/>
          <w:sz w:val="22"/>
          <w:szCs w:val="22"/>
          <w:highlight w:val="none"/>
          <w:u w:val="single" w:color="auto"/>
          <w:lang w:val="en-US" w:eastAsia="zh-CN"/>
        </w:rPr>
        <w:t xml:space="preserve">   </w:t>
      </w:r>
      <w:r>
        <w:rPr>
          <w:rFonts w:hint="eastAsia" w:ascii="宋体" w:hAnsi="宋体" w:eastAsia="宋体" w:cs="宋体"/>
          <w:color w:val="auto"/>
          <w:sz w:val="22"/>
          <w:szCs w:val="22"/>
          <w:highlight w:val="none"/>
          <w:lang w:val="en-US" w:eastAsia="zh-CN"/>
        </w:rPr>
        <w:t>份</w:t>
      </w:r>
      <w:r>
        <w:rPr>
          <w:rFonts w:hint="eastAsia" w:ascii="宋体" w:hAnsi="宋体" w:eastAsia="宋体" w:cs="宋体"/>
          <w:color w:val="auto"/>
          <w:sz w:val="22"/>
          <w:szCs w:val="22"/>
          <w:highlight w:val="none"/>
        </w:rPr>
        <w:t>。</w:t>
      </w:r>
    </w:p>
    <w:p>
      <w:pPr>
        <w:spacing w:line="400" w:lineRule="exact"/>
        <w:ind w:left="43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00" w:lineRule="exact"/>
        <w:ind w:left="43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00" w:lineRule="exact"/>
        <w:ind w:left="6800" w:leftChars="200" w:hanging="6380" w:hangingChars="29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甲方：（盖章）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w:t>
      </w:r>
    </w:p>
    <w:p>
      <w:pPr>
        <w:spacing w:line="400" w:lineRule="exact"/>
        <w:ind w:left="6800" w:leftChars="200" w:hanging="6380" w:hangingChars="29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00" w:lineRule="exact"/>
        <w:ind w:left="6800" w:leftChars="200" w:hanging="6380" w:hangingChars="29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法定代表人或授权代表人 ：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签章</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 xml:space="preserve">                             </w:t>
      </w:r>
    </w:p>
    <w:p>
      <w:pPr>
        <w:spacing w:line="400" w:lineRule="exact"/>
        <w:ind w:left="6800" w:leftChars="200" w:hanging="6380" w:hangingChars="29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00" w:lineRule="exact"/>
        <w:ind w:left="6800" w:leftChars="200" w:hanging="6380" w:hangingChars="29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2023年</w:t>
      </w:r>
      <w:r>
        <w:rPr>
          <w:rFonts w:hint="eastAsia" w:ascii="宋体" w:hAnsi="宋体" w:eastAsia="宋体" w:cs="宋体"/>
          <w:color w:val="auto"/>
          <w:sz w:val="22"/>
          <w:szCs w:val="22"/>
          <w:highlight w:val="none"/>
        </w:rPr>
        <w:t xml:space="preserve">  月  日                               </w:t>
      </w:r>
    </w:p>
    <w:p>
      <w:pPr>
        <w:spacing w:line="400" w:lineRule="exact"/>
        <w:ind w:left="6800" w:leftChars="200" w:hanging="6380" w:hangingChars="2900"/>
        <w:rPr>
          <w:rFonts w:hint="eastAsia" w:ascii="宋体" w:hAnsi="宋体" w:eastAsia="宋体" w:cs="宋体"/>
          <w:color w:val="auto"/>
          <w:sz w:val="22"/>
          <w:szCs w:val="22"/>
          <w:highlight w:val="none"/>
        </w:rPr>
      </w:pPr>
    </w:p>
    <w:p>
      <w:pPr>
        <w:spacing w:line="400" w:lineRule="exact"/>
        <w:ind w:left="6800" w:leftChars="200" w:hanging="6380" w:hangingChars="2900"/>
        <w:rPr>
          <w:rFonts w:hint="eastAsia" w:ascii="宋体" w:hAnsi="宋体" w:eastAsia="宋体" w:cs="宋体"/>
          <w:color w:val="auto"/>
          <w:sz w:val="22"/>
          <w:szCs w:val="22"/>
          <w:highlight w:val="none"/>
          <w:lang w:val="en-US" w:eastAsia="zh-CN"/>
        </w:rPr>
      </w:pPr>
    </w:p>
    <w:p>
      <w:pPr>
        <w:spacing w:line="400" w:lineRule="exact"/>
        <w:ind w:left="6800" w:leftChars="200" w:hanging="6380" w:hangingChars="2900"/>
        <w:rPr>
          <w:rFonts w:hint="eastAsia" w:ascii="宋体" w:hAnsi="宋体" w:eastAsia="宋体" w:cs="宋体"/>
          <w:color w:val="auto"/>
          <w:sz w:val="22"/>
          <w:szCs w:val="22"/>
          <w:highlight w:val="none"/>
          <w:lang w:val="en-US" w:eastAsia="zh-CN"/>
        </w:rPr>
      </w:pPr>
    </w:p>
    <w:p>
      <w:pPr>
        <w:spacing w:line="400" w:lineRule="exact"/>
        <w:ind w:left="6800" w:leftChars="200" w:hanging="6380" w:hangingChars="29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乙ｎ方：</w:t>
      </w:r>
      <w:r>
        <w:rPr>
          <w:rFonts w:hint="eastAsia" w:ascii="宋体" w:hAnsi="宋体" w:eastAsia="宋体" w:cs="宋体"/>
          <w:color w:val="auto"/>
          <w:sz w:val="22"/>
          <w:szCs w:val="22"/>
          <w:highlight w:val="none"/>
        </w:rPr>
        <w:t xml:space="preserve">（盖章） </w:t>
      </w:r>
      <w:r>
        <w:rPr>
          <w:rFonts w:hint="eastAsia" w:ascii="宋体" w:hAnsi="宋体" w:eastAsia="宋体" w:cs="宋体"/>
          <w:color w:val="auto"/>
          <w:sz w:val="22"/>
          <w:szCs w:val="22"/>
          <w:highlight w:val="none"/>
          <w:lang w:val="en-US" w:eastAsia="zh-CN"/>
        </w:rPr>
        <w:t xml:space="preserve">  </w:t>
      </w:r>
    </w:p>
    <w:p>
      <w:pPr>
        <w:spacing w:line="400" w:lineRule="exact"/>
        <w:ind w:left="6800" w:leftChars="200" w:hanging="6380" w:hangingChars="2900"/>
        <w:rPr>
          <w:rFonts w:hint="eastAsia" w:ascii="宋体" w:hAnsi="宋体" w:eastAsia="宋体" w:cs="宋体"/>
          <w:color w:val="auto"/>
          <w:sz w:val="22"/>
          <w:szCs w:val="22"/>
          <w:highlight w:val="none"/>
        </w:rPr>
      </w:pPr>
    </w:p>
    <w:p>
      <w:pPr>
        <w:spacing w:line="400" w:lineRule="exact"/>
        <w:ind w:left="6800" w:leftChars="200" w:hanging="6380" w:hangingChars="29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法定代表人或授权代表人 ：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签章</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 xml:space="preserve">    </w:t>
      </w:r>
    </w:p>
    <w:p>
      <w:pPr>
        <w:spacing w:line="400" w:lineRule="exact"/>
        <w:ind w:left="6800" w:leftChars="200" w:hanging="6380" w:hangingChars="2900"/>
        <w:rPr>
          <w:rFonts w:hint="eastAsia" w:ascii="宋体" w:hAnsi="宋体" w:eastAsia="宋体" w:cs="宋体"/>
          <w:color w:val="auto"/>
          <w:sz w:val="22"/>
          <w:szCs w:val="22"/>
          <w:highlight w:val="none"/>
        </w:rPr>
      </w:pPr>
    </w:p>
    <w:p>
      <w:pPr>
        <w:spacing w:line="400" w:lineRule="exact"/>
        <w:ind w:left="6800" w:leftChars="200" w:hanging="6380" w:hangingChars="29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2023年</w:t>
      </w:r>
      <w:r>
        <w:rPr>
          <w:rFonts w:hint="eastAsia" w:ascii="宋体" w:hAnsi="宋体" w:eastAsia="宋体" w:cs="宋体"/>
          <w:color w:val="auto"/>
          <w:sz w:val="22"/>
          <w:szCs w:val="22"/>
          <w:highlight w:val="none"/>
        </w:rPr>
        <w:t xml:space="preserve">  月  日   </w:t>
      </w:r>
    </w:p>
    <w:p>
      <w:pPr>
        <w:spacing w:before="156" w:after="156"/>
        <w:jc w:val="center"/>
        <w:rPr>
          <w:rFonts w:hint="eastAsia" w:ascii="宋体" w:hAnsi="宋体" w:eastAsia="宋体" w:cs="宋体"/>
          <w:color w:val="auto"/>
          <w:spacing w:val="-2"/>
          <w:sz w:val="48"/>
          <w:szCs w:val="48"/>
          <w:highlight w:val="none"/>
        </w:rPr>
      </w:pPr>
      <w:r>
        <w:rPr>
          <w:rFonts w:hint="eastAsia" w:ascii="宋体" w:hAnsi="宋体" w:eastAsia="宋体" w:cs="宋体"/>
          <w:color w:val="auto"/>
          <w:spacing w:val="-2"/>
          <w:sz w:val="48"/>
          <w:szCs w:val="48"/>
          <w:highlight w:val="none"/>
          <w:lang w:val="en-US" w:eastAsia="zh-CN"/>
        </w:rPr>
        <w:br w:type="page"/>
      </w:r>
      <w:r>
        <w:rPr>
          <w:rFonts w:hint="eastAsia" w:ascii="宋体" w:hAnsi="宋体" w:eastAsia="宋体" w:cs="宋体"/>
          <w:color w:val="auto"/>
          <w:spacing w:val="-2"/>
          <w:sz w:val="48"/>
          <w:szCs w:val="48"/>
          <w:highlight w:val="none"/>
          <w:lang w:val="en-US" w:eastAsia="zh-CN"/>
        </w:rPr>
        <w:t>二、</w:t>
      </w:r>
      <w:r>
        <w:rPr>
          <w:rFonts w:hint="eastAsia" w:ascii="宋体" w:hAnsi="宋体" w:eastAsia="宋体" w:cs="宋体"/>
          <w:color w:val="auto"/>
          <w:spacing w:val="-2"/>
          <w:sz w:val="48"/>
          <w:szCs w:val="48"/>
          <w:highlight w:val="none"/>
        </w:rPr>
        <w:t>银行间债券市场</w:t>
      </w:r>
    </w:p>
    <w:p>
      <w:pPr>
        <w:spacing w:before="156" w:after="156"/>
        <w:jc w:val="center"/>
        <w:rPr>
          <w:rFonts w:hint="eastAsia" w:ascii="宋体" w:hAnsi="宋体" w:eastAsia="宋体" w:cs="宋体"/>
          <w:color w:val="auto"/>
          <w:spacing w:val="-2"/>
          <w:sz w:val="48"/>
          <w:szCs w:val="48"/>
          <w:highlight w:val="none"/>
        </w:rPr>
      </w:pPr>
    </w:p>
    <w:p>
      <w:pPr>
        <w:spacing w:before="156" w:after="156"/>
        <w:jc w:val="center"/>
        <w:rPr>
          <w:rFonts w:hint="eastAsia" w:ascii="宋体" w:hAnsi="宋体" w:eastAsia="宋体" w:cs="宋体"/>
          <w:color w:val="auto"/>
          <w:spacing w:val="-2"/>
          <w:sz w:val="48"/>
          <w:szCs w:val="48"/>
          <w:highlight w:val="none"/>
        </w:rPr>
      </w:pPr>
      <w:r>
        <w:rPr>
          <w:rFonts w:hint="eastAsia" w:ascii="宋体" w:hAnsi="宋体" w:eastAsia="宋体" w:cs="宋体"/>
          <w:color w:val="auto"/>
          <w:spacing w:val="-2"/>
          <w:sz w:val="48"/>
          <w:szCs w:val="48"/>
          <w:highlight w:val="none"/>
        </w:rPr>
        <w:t>非金融企业债务融资工具承销协议文本</w:t>
      </w:r>
    </w:p>
    <w:p>
      <w:pPr>
        <w:spacing w:line="360" w:lineRule="auto"/>
        <w:jc w:val="center"/>
        <w:rPr>
          <w:rFonts w:hint="eastAsia" w:ascii="宋体" w:hAnsi="宋体" w:eastAsia="宋体" w:cs="宋体"/>
          <w:color w:val="auto"/>
          <w:spacing w:val="-2"/>
          <w:sz w:val="48"/>
          <w:szCs w:val="48"/>
          <w:highlight w:val="none"/>
        </w:rPr>
      </w:pPr>
    </w:p>
    <w:p>
      <w:pPr>
        <w:spacing w:before="156" w:after="156" w:line="360" w:lineRule="auto"/>
        <w:rPr>
          <w:rFonts w:hint="eastAsia" w:ascii="宋体" w:hAnsi="宋体" w:eastAsia="宋体" w:cs="宋体"/>
          <w:color w:val="auto"/>
          <w:spacing w:val="-2"/>
          <w:szCs w:val="28"/>
          <w:highlight w:val="none"/>
        </w:rPr>
      </w:pPr>
    </w:p>
    <w:p>
      <w:pPr>
        <w:spacing w:before="156" w:after="156" w:line="360" w:lineRule="auto"/>
        <w:rPr>
          <w:rFonts w:hint="eastAsia" w:ascii="宋体" w:hAnsi="宋体" w:eastAsia="宋体" w:cs="宋体"/>
          <w:color w:val="auto"/>
          <w:spacing w:val="-2"/>
          <w:szCs w:val="28"/>
          <w:highlight w:val="none"/>
        </w:rPr>
      </w:pPr>
    </w:p>
    <w:p>
      <w:pPr>
        <w:spacing w:before="156" w:after="156" w:line="360" w:lineRule="auto"/>
        <w:jc w:val="center"/>
        <w:rPr>
          <w:rFonts w:hint="eastAsia" w:ascii="宋体" w:hAnsi="宋体" w:eastAsia="宋体" w:cs="宋体"/>
          <w:color w:val="auto"/>
          <w:spacing w:val="-2"/>
          <w:szCs w:val="28"/>
          <w:highlight w:val="none"/>
          <w:lang w:val="en-US" w:eastAsia="zh-CN"/>
        </w:rPr>
      </w:pPr>
    </w:p>
    <w:p>
      <w:pPr>
        <w:pStyle w:val="2"/>
        <w:adjustRightInd/>
        <w:snapToGrid/>
        <w:spacing w:before="120" w:after="120" w:line="400" w:lineRule="exact"/>
        <w:jc w:val="center"/>
        <w:rPr>
          <w:rFonts w:hint="eastAsia" w:ascii="宋体" w:hAnsi="宋体" w:eastAsia="宋体" w:cs="宋体"/>
          <w:bCs/>
          <w:color w:val="auto"/>
          <w:sz w:val="32"/>
          <w:szCs w:val="32"/>
          <w:highlight w:val="none"/>
        </w:rPr>
      </w:pPr>
      <w:bookmarkStart w:id="196" w:name="_Toc508316121"/>
      <w:bookmarkStart w:id="197" w:name="_Toc508611368"/>
      <w:r>
        <w:rPr>
          <w:rFonts w:hint="eastAsia" w:ascii="宋体" w:hAnsi="宋体" w:eastAsia="宋体" w:cs="宋体"/>
          <w:color w:val="auto"/>
          <w:spacing w:val="-2"/>
          <w:sz w:val="30"/>
          <w:szCs w:val="30"/>
          <w:highlight w:val="none"/>
        </w:rPr>
        <w:t>版权所有：中国银行间市场交易商协会 2013</w:t>
      </w:r>
      <w:bookmarkEnd w:id="196"/>
      <w:bookmarkEnd w:id="197"/>
    </w:p>
    <w:p>
      <w:pPr>
        <w:spacing w:before="156" w:after="156" w:line="360" w:lineRule="auto"/>
        <w:rPr>
          <w:rFonts w:hint="eastAsia" w:ascii="宋体" w:hAnsi="宋体" w:eastAsia="宋体" w:cs="宋体"/>
          <w:color w:val="auto"/>
          <w:spacing w:val="-2"/>
          <w:szCs w:val="28"/>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下载地址：http://www.nafmii.org.cn/zdgz/201309/t20130902_25700.html</w:t>
      </w:r>
    </w:p>
    <w:p>
      <w:pPr>
        <w:pStyle w:val="8"/>
        <w:rPr>
          <w:rFonts w:hint="eastAsia" w:ascii="宋体" w:hAnsi="宋体" w:eastAsia="宋体" w:cs="宋体"/>
          <w:color w:val="auto"/>
          <w:sz w:val="21"/>
          <w:highlight w:val="none"/>
        </w:rPr>
      </w:pPr>
    </w:p>
    <w:p>
      <w:pPr>
        <w:rPr>
          <w:rFonts w:hint="eastAsia" w:ascii="宋体" w:hAnsi="宋体" w:eastAsia="宋体" w:cs="宋体"/>
          <w:color w:val="auto"/>
          <w:sz w:val="21"/>
          <w:highlight w:val="none"/>
        </w:rPr>
      </w:pPr>
    </w:p>
    <w:p>
      <w:pPr>
        <w:pStyle w:val="8"/>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注：如有新的协议文本，则按最新协议文本执行。</w:t>
      </w:r>
    </w:p>
    <w:p>
      <w:pPr>
        <w:snapToGrid w:val="0"/>
        <w:spacing w:line="500" w:lineRule="exact"/>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br w:type="page"/>
      </w:r>
      <w:r>
        <w:rPr>
          <w:rFonts w:hint="eastAsia" w:ascii="宋体" w:hAnsi="宋体" w:eastAsia="宋体" w:cs="宋体"/>
          <w:b/>
          <w:bCs/>
          <w:color w:val="auto"/>
          <w:sz w:val="36"/>
          <w:szCs w:val="36"/>
          <w:highlight w:val="none"/>
          <w:lang w:val="en-US" w:eastAsia="zh-CN"/>
        </w:rPr>
        <w:t>下述协议根据当期询价结果视情况签订：</w:t>
      </w:r>
    </w:p>
    <w:p>
      <w:pPr>
        <w:pStyle w:val="24"/>
        <w:spacing w:before="156" w:after="156" w:line="360" w:lineRule="auto"/>
        <w:ind w:firstLine="0"/>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lang w:val="en-US" w:eastAsia="zh-CN"/>
        </w:rPr>
        <w:t>三、</w:t>
      </w:r>
      <w:r>
        <w:rPr>
          <w:rFonts w:hint="eastAsia" w:ascii="宋体" w:hAnsi="宋体" w:eastAsia="宋体" w:cs="宋体"/>
          <w:color w:val="auto"/>
          <w:sz w:val="36"/>
          <w:szCs w:val="36"/>
          <w:highlight w:val="none"/>
        </w:rPr>
        <w:t>温州市铁路与轨道交通投资集团有限公司</w:t>
      </w:r>
    </w:p>
    <w:p>
      <w:pPr>
        <w:pStyle w:val="24"/>
        <w:spacing w:before="156" w:after="156" w:line="360" w:lineRule="auto"/>
        <w:ind w:firstLine="0"/>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20</w:t>
      </w:r>
      <w:r>
        <w:rPr>
          <w:rFonts w:hint="eastAsia" w:ascii="宋体" w:hAnsi="宋体" w:eastAsia="宋体" w:cs="宋体"/>
          <w:color w:val="auto"/>
          <w:sz w:val="36"/>
          <w:szCs w:val="36"/>
          <w:highlight w:val="none"/>
          <w:lang w:val="en-US" w:eastAsia="zh-CN"/>
        </w:rPr>
        <w:t>23</w:t>
      </w:r>
      <w:r>
        <w:rPr>
          <w:rFonts w:hint="eastAsia" w:ascii="宋体" w:hAnsi="宋体" w:eastAsia="宋体" w:cs="宋体"/>
          <w:color w:val="auto"/>
          <w:sz w:val="36"/>
          <w:szCs w:val="36"/>
          <w:highlight w:val="none"/>
        </w:rPr>
        <w:t>-202</w:t>
      </w:r>
      <w:r>
        <w:rPr>
          <w:rFonts w:hint="eastAsia" w:ascii="宋体" w:hAnsi="宋体" w:eastAsia="宋体" w:cs="宋体"/>
          <w:color w:val="auto"/>
          <w:sz w:val="36"/>
          <w:szCs w:val="36"/>
          <w:highlight w:val="none"/>
          <w:lang w:val="en-US" w:eastAsia="zh-CN"/>
        </w:rPr>
        <w:t>5</w:t>
      </w:r>
      <w:r>
        <w:rPr>
          <w:rFonts w:hint="eastAsia" w:ascii="宋体" w:hAnsi="宋体" w:eastAsia="宋体" w:cs="宋体"/>
          <w:color w:val="auto"/>
          <w:sz w:val="36"/>
          <w:szCs w:val="36"/>
          <w:highlight w:val="none"/>
        </w:rPr>
        <w:t>年度超短期融资券承销协议补充协议</w:t>
      </w:r>
    </w:p>
    <w:p>
      <w:pPr>
        <w:spacing w:before="156" w:after="156" w:line="360" w:lineRule="auto"/>
        <w:jc w:val="center"/>
        <w:rPr>
          <w:rFonts w:hint="eastAsia" w:ascii="宋体" w:hAnsi="宋体" w:eastAsia="宋体" w:cs="宋体"/>
          <w:b/>
          <w:color w:val="auto"/>
          <w:spacing w:val="20"/>
          <w:sz w:val="44"/>
          <w:szCs w:val="44"/>
          <w:highlight w:val="none"/>
        </w:rPr>
      </w:pPr>
    </w:p>
    <w:p>
      <w:pPr>
        <w:spacing w:before="156" w:after="156" w:line="360" w:lineRule="auto"/>
        <w:ind w:firstLine="411" w:firstLineChars="18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本补充协议由：</w:t>
      </w:r>
    </w:p>
    <w:p>
      <w:pPr>
        <w:spacing w:before="156" w:after="156" w:line="360" w:lineRule="auto"/>
        <w:ind w:firstLine="411" w:firstLineChars="18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w:t>
      </w:r>
      <w:r>
        <w:rPr>
          <w:rFonts w:hint="eastAsia" w:ascii="宋体" w:hAnsi="宋体" w:eastAsia="宋体" w:cs="宋体"/>
          <w:color w:val="auto"/>
          <w:sz w:val="22"/>
          <w:szCs w:val="22"/>
          <w:highlight w:val="none"/>
          <w:u w:val="single"/>
        </w:rPr>
        <w:t>温州市铁路与轨道交通投资集团有限公司</w:t>
      </w:r>
      <w:r>
        <w:rPr>
          <w:rFonts w:hint="eastAsia" w:ascii="宋体" w:hAnsi="宋体" w:eastAsia="宋体" w:cs="宋体"/>
          <w:color w:val="auto"/>
          <w:sz w:val="22"/>
          <w:szCs w:val="22"/>
          <w:highlight w:val="none"/>
        </w:rPr>
        <w:t>，作为“发行方”；</w:t>
      </w:r>
    </w:p>
    <w:p>
      <w:pPr>
        <w:spacing w:before="156" w:after="156" w:line="360" w:lineRule="auto"/>
        <w:ind w:firstLine="411" w:firstLineChars="18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，作为主承销商；</w:t>
      </w:r>
    </w:p>
    <w:p>
      <w:pPr>
        <w:spacing w:before="156" w:after="156" w:line="360" w:lineRule="auto"/>
        <w:ind w:firstLine="411" w:firstLineChars="18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于________年________月__________日签署并生效。</w:t>
      </w:r>
    </w:p>
    <w:p>
      <w:pPr>
        <w:spacing w:before="156" w:after="156"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鉴于上述各方均已于</w:t>
      </w:r>
      <w:r>
        <w:rPr>
          <w:rFonts w:hint="eastAsia" w:ascii="宋体" w:hAnsi="宋体" w:eastAsia="宋体" w:cs="宋体"/>
          <w:color w:val="auto"/>
          <w:sz w:val="22"/>
          <w:szCs w:val="22"/>
          <w:highlight w:val="none"/>
          <w:u w:val="single"/>
          <w:lang w:val="en-US" w:eastAsia="zh-CN"/>
        </w:rPr>
        <w:t>2023</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lang w:val="en-US" w:eastAsia="zh-CN"/>
        </w:rPr>
        <w:t>X</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lang w:val="en-US" w:eastAsia="zh-CN"/>
        </w:rPr>
        <w:t>X</w:t>
      </w:r>
      <w:r>
        <w:rPr>
          <w:rFonts w:hint="eastAsia" w:ascii="宋体" w:hAnsi="宋体" w:eastAsia="宋体" w:cs="宋体"/>
          <w:color w:val="auto"/>
          <w:sz w:val="22"/>
          <w:szCs w:val="22"/>
          <w:highlight w:val="none"/>
        </w:rPr>
        <w:t>日签署了《温州市铁路与轨道交通投资集团有限公司20</w:t>
      </w:r>
      <w:r>
        <w:rPr>
          <w:rFonts w:hint="eastAsia" w:ascii="宋体" w:hAnsi="宋体" w:eastAsia="宋体" w:cs="宋体"/>
          <w:color w:val="auto"/>
          <w:sz w:val="22"/>
          <w:szCs w:val="22"/>
          <w:highlight w:val="none"/>
          <w:lang w:val="en-US" w:eastAsia="zh-CN"/>
        </w:rPr>
        <w:t>23</w:t>
      </w:r>
      <w:r>
        <w:rPr>
          <w:rFonts w:hint="eastAsia" w:ascii="宋体" w:hAnsi="宋体" w:eastAsia="宋体" w:cs="宋体"/>
          <w:color w:val="auto"/>
          <w:sz w:val="22"/>
          <w:szCs w:val="22"/>
          <w:highlight w:val="none"/>
        </w:rPr>
        <w:t>-202</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年度超短期融资券承销协议》（简称《承销协议》），为进一步明确各方权利义务，各方在承销协议基础上签署本补充协议，对下列事项做出补充或具体约定。</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本补充协议中的每一项定义的含义与《承销协议》中的相同定义的含义相同，但本补充协议对该定义的含义另有约定的除外。</w:t>
      </w:r>
    </w:p>
    <w:p>
      <w:pPr>
        <w:numPr>
          <w:ilvl w:val="0"/>
          <w:numId w:val="18"/>
        </w:num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《承销协议》第七条第7.1款修改为:本协议项下债务融资工具年承销费率为</w:t>
      </w:r>
      <w:r>
        <w:rPr>
          <w:rFonts w:hint="eastAsia" w:ascii="宋体" w:hAnsi="宋体" w:eastAsia="宋体" w:cs="宋体"/>
          <w:color w:val="auto"/>
          <w:sz w:val="22"/>
          <w:szCs w:val="22"/>
          <w:highlight w:val="none"/>
          <w:lang w:val="en-US" w:eastAsia="zh-CN"/>
        </w:rPr>
        <w:t>X</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numPr>
          <w:ilvl w:val="0"/>
          <w:numId w:val="18"/>
        </w:num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增值税特别约定</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1、本合同项下发行方向主承销方支付的承销费为含税包干价格，在合同履行期间包干的含税总价不予调整。</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发行方要求主承销方开具增值税发票的，应先在主承销方处办理信息登记，登记信息包括发行方全称、纳税人识别号或社会信用代码、地址、电话、开户银行和账号。发行方应确保提供给主承销方的相关信息真实、准确和完整，并按照主承销方要求提供相关证明资料，具体要求由主承销方通过网点通知或网站公告等发布。</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发行方选择自行领取增值税发票的，需向主承销方提供加盖印章的授权委托书，指定领取人，并明确领取人身份证号等信息，由指定领取人凭身份证原件领取增值税发票；指定领取人发生变更的，发行方需重新向主承销方出具加盖印章的授权委托书。发行方选择邮寄方式收取增值税发票的，还应提供准确无误且可送达的邮寄信息；若邮寄信息发生变更的，应及时书面通知主承销方。</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4、因自然灾害、政府行为、社会异常事件等不可抗力或税务机关原因导致主承销方不能及时开具增值税发票的，主承销方有权延迟开票，并不承担任何责任。</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5、增值税发票被发行方收到后发生发票丢失、破损或逾期等非主承销方原因，导致发行方无法收到增值税发票相应联次或逾期无法抵扣的，主承销方不负责赔偿发行方相关经济损失。</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由于发生销售退回、应税服务中止或开票有误、抵扣联、发票联均无法认证等情形，需要开具增值税红字专用发票的，根据相关法律、法规及政策性文件规定需要由发行方向税务机关提交《开具红字增值税专用发票信息表》的，应由发行方向税务机关提交《开具红字增值税专用发票信息表》，待税务机关审核并通知主承销方后，主承销方开具红字增值税专用发票。</w:t>
      </w:r>
    </w:p>
    <w:p>
      <w:pPr>
        <w:numPr>
          <w:ilvl w:val="0"/>
          <w:numId w:val="18"/>
        </w:num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其他约定</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1、温州市铁路与轨道交通投资集团有限公司</w:t>
      </w:r>
      <w:r>
        <w:rPr>
          <w:rFonts w:hint="eastAsia" w:ascii="宋体" w:hAnsi="宋体" w:eastAsia="宋体" w:cs="宋体"/>
          <w:color w:val="auto"/>
          <w:sz w:val="22"/>
          <w:szCs w:val="22"/>
          <w:highlight w:val="none"/>
          <w:u w:val="single"/>
        </w:rPr>
        <w:t>202</w:t>
      </w:r>
      <w:r>
        <w:rPr>
          <w:rFonts w:hint="eastAsia" w:ascii="宋体" w:hAnsi="宋体" w:eastAsia="宋体" w:cs="宋体"/>
          <w:color w:val="auto"/>
          <w:sz w:val="22"/>
          <w:szCs w:val="22"/>
          <w:highlight w:val="none"/>
          <w:u w:val="single"/>
          <w:lang w:val="en-US" w:eastAsia="zh-CN"/>
        </w:rPr>
        <w:t>X</w:t>
      </w:r>
      <w:r>
        <w:rPr>
          <w:rFonts w:hint="eastAsia" w:ascii="宋体" w:hAnsi="宋体" w:eastAsia="宋体" w:cs="宋体"/>
          <w:color w:val="auto"/>
          <w:sz w:val="22"/>
          <w:szCs w:val="22"/>
          <w:highlight w:val="none"/>
          <w:u w:val="single"/>
        </w:rPr>
        <w:t xml:space="preserve">年度第            </w:t>
      </w:r>
      <w:r>
        <w:rPr>
          <w:rFonts w:hint="eastAsia" w:ascii="宋体" w:hAnsi="宋体" w:eastAsia="宋体" w:cs="宋体"/>
          <w:color w:val="auto"/>
          <w:sz w:val="22"/>
          <w:szCs w:val="22"/>
          <w:highlight w:val="none"/>
          <w:u w:val="single"/>
          <w:lang w:val="en-US" w:eastAsia="zh-CN"/>
        </w:rPr>
        <w:t>N</w:t>
      </w:r>
      <w:r>
        <w:rPr>
          <w:rFonts w:hint="eastAsia" w:ascii="宋体" w:hAnsi="宋体" w:eastAsia="宋体" w:cs="宋体"/>
          <w:color w:val="auto"/>
          <w:sz w:val="22"/>
          <w:szCs w:val="22"/>
          <w:highlight w:val="none"/>
          <w:u w:val="single"/>
        </w:rPr>
        <w:t>期超短期融资券</w:t>
      </w:r>
      <w:r>
        <w:rPr>
          <w:rFonts w:hint="eastAsia" w:ascii="宋体" w:hAnsi="宋体" w:eastAsia="宋体" w:cs="宋体"/>
          <w:color w:val="auto"/>
          <w:sz w:val="22"/>
          <w:szCs w:val="22"/>
          <w:highlight w:val="none"/>
        </w:rPr>
        <w:t>发行规模为</w:t>
      </w:r>
      <w:r>
        <w:rPr>
          <w:rFonts w:hint="eastAsia" w:ascii="宋体" w:hAnsi="宋体" w:eastAsia="宋体" w:cs="宋体"/>
          <w:color w:val="auto"/>
          <w:sz w:val="22"/>
          <w:szCs w:val="22"/>
          <w:highlight w:val="none"/>
          <w:u w:val="single"/>
          <w:lang w:val="en-US" w:eastAsia="zh-CN"/>
        </w:rPr>
        <w:t>X</w:t>
      </w:r>
      <w:r>
        <w:rPr>
          <w:rFonts w:hint="eastAsia" w:ascii="宋体" w:hAnsi="宋体" w:eastAsia="宋体" w:cs="宋体"/>
          <w:color w:val="auto"/>
          <w:sz w:val="22"/>
          <w:szCs w:val="22"/>
          <w:highlight w:val="none"/>
        </w:rPr>
        <w:t>亿元，期限为</w:t>
      </w:r>
      <w:r>
        <w:rPr>
          <w:rFonts w:hint="eastAsia" w:ascii="宋体" w:hAnsi="宋体" w:eastAsia="宋体" w:cs="宋体"/>
          <w:color w:val="auto"/>
          <w:sz w:val="22"/>
          <w:szCs w:val="22"/>
          <w:highlight w:val="none"/>
          <w:u w:val="single"/>
          <w:lang w:val="en-US" w:eastAsia="zh-CN"/>
        </w:rPr>
        <w:t>X</w:t>
      </w:r>
      <w:r>
        <w:rPr>
          <w:rFonts w:hint="eastAsia" w:ascii="宋体" w:hAnsi="宋体" w:eastAsia="宋体" w:cs="宋体"/>
          <w:color w:val="auto"/>
          <w:sz w:val="22"/>
          <w:szCs w:val="22"/>
          <w:highlight w:val="none"/>
        </w:rPr>
        <w:t>天，委任乙方作为本期超短期融资券的牵头主承销商、簿记管理人。乙方同意接受甲方的上述委任。</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2、温州市铁路与轨道交通投资集团有限公司</w:t>
      </w:r>
      <w:r>
        <w:rPr>
          <w:rFonts w:hint="eastAsia" w:ascii="宋体" w:hAnsi="宋体" w:eastAsia="宋体" w:cs="宋体"/>
          <w:color w:val="auto"/>
          <w:sz w:val="22"/>
          <w:szCs w:val="22"/>
          <w:highlight w:val="none"/>
          <w:u w:val="single"/>
        </w:rPr>
        <w:t>202</w:t>
      </w:r>
      <w:r>
        <w:rPr>
          <w:rFonts w:hint="eastAsia" w:ascii="宋体" w:hAnsi="宋体" w:eastAsia="宋体" w:cs="宋体"/>
          <w:color w:val="auto"/>
          <w:sz w:val="22"/>
          <w:szCs w:val="22"/>
          <w:highlight w:val="none"/>
          <w:u w:val="single"/>
          <w:lang w:val="en-US" w:eastAsia="zh-CN"/>
        </w:rPr>
        <w:t>X</w:t>
      </w:r>
      <w:r>
        <w:rPr>
          <w:rFonts w:hint="eastAsia" w:ascii="宋体" w:hAnsi="宋体" w:eastAsia="宋体" w:cs="宋体"/>
          <w:color w:val="auto"/>
          <w:sz w:val="22"/>
          <w:szCs w:val="22"/>
          <w:highlight w:val="none"/>
          <w:u w:val="single"/>
        </w:rPr>
        <w:t xml:space="preserve">年度第    </w:t>
      </w:r>
      <w:r>
        <w:rPr>
          <w:rFonts w:hint="eastAsia" w:ascii="宋体" w:hAnsi="宋体" w:eastAsia="宋体" w:cs="宋体"/>
          <w:color w:val="auto"/>
          <w:sz w:val="22"/>
          <w:szCs w:val="22"/>
          <w:highlight w:val="none"/>
          <w:u w:val="single"/>
          <w:lang w:val="en-US" w:eastAsia="zh-CN"/>
        </w:rPr>
        <w:t>N</w:t>
      </w:r>
      <w:r>
        <w:rPr>
          <w:rFonts w:hint="eastAsia" w:ascii="宋体" w:hAnsi="宋体" w:eastAsia="宋体" w:cs="宋体"/>
          <w:color w:val="auto"/>
          <w:sz w:val="22"/>
          <w:szCs w:val="22"/>
          <w:highlight w:val="none"/>
          <w:u w:val="single"/>
        </w:rPr>
        <w:t>期超短期融资券</w:t>
      </w:r>
      <w:r>
        <w:rPr>
          <w:rFonts w:hint="eastAsia" w:ascii="宋体" w:hAnsi="宋体" w:eastAsia="宋体" w:cs="宋体"/>
          <w:color w:val="auto"/>
          <w:sz w:val="22"/>
          <w:szCs w:val="22"/>
          <w:highlight w:val="none"/>
        </w:rPr>
        <w:t>采取余额包销的方式进行。</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3、温州市铁路与轨道交通投资集团有限公司</w:t>
      </w:r>
      <w:r>
        <w:rPr>
          <w:rFonts w:hint="eastAsia" w:ascii="宋体" w:hAnsi="宋体" w:eastAsia="宋体" w:cs="宋体"/>
          <w:color w:val="auto"/>
          <w:sz w:val="22"/>
          <w:szCs w:val="22"/>
          <w:highlight w:val="none"/>
          <w:u w:val="single"/>
        </w:rPr>
        <w:t>202</w:t>
      </w:r>
      <w:r>
        <w:rPr>
          <w:rFonts w:hint="eastAsia" w:ascii="宋体" w:hAnsi="宋体" w:eastAsia="宋体" w:cs="宋体"/>
          <w:color w:val="auto"/>
          <w:sz w:val="22"/>
          <w:szCs w:val="22"/>
          <w:highlight w:val="none"/>
          <w:u w:val="single"/>
          <w:lang w:val="en-US" w:eastAsia="zh-CN"/>
        </w:rPr>
        <w:t>X</w:t>
      </w:r>
      <w:r>
        <w:rPr>
          <w:rFonts w:hint="eastAsia" w:ascii="宋体" w:hAnsi="宋体" w:eastAsia="宋体" w:cs="宋体"/>
          <w:color w:val="auto"/>
          <w:sz w:val="22"/>
          <w:szCs w:val="22"/>
          <w:highlight w:val="none"/>
          <w:u w:val="single"/>
        </w:rPr>
        <w:t xml:space="preserve">年度第            </w:t>
      </w:r>
      <w:r>
        <w:rPr>
          <w:rFonts w:hint="eastAsia" w:ascii="宋体" w:hAnsi="宋体" w:eastAsia="宋体" w:cs="宋体"/>
          <w:color w:val="auto"/>
          <w:sz w:val="22"/>
          <w:szCs w:val="22"/>
          <w:highlight w:val="none"/>
          <w:u w:val="single"/>
          <w:lang w:val="en-US" w:eastAsia="zh-CN"/>
        </w:rPr>
        <w:t>N</w:t>
      </w:r>
      <w:r>
        <w:rPr>
          <w:rFonts w:hint="eastAsia" w:ascii="宋体" w:hAnsi="宋体" w:eastAsia="宋体" w:cs="宋体"/>
          <w:color w:val="auto"/>
          <w:sz w:val="22"/>
          <w:szCs w:val="22"/>
          <w:highlight w:val="none"/>
          <w:u w:val="single"/>
        </w:rPr>
        <w:t>期超短期融资券</w:t>
      </w:r>
      <w:r>
        <w:rPr>
          <w:rFonts w:hint="eastAsia" w:ascii="宋体" w:hAnsi="宋体" w:eastAsia="宋体" w:cs="宋体"/>
          <w:color w:val="auto"/>
          <w:sz w:val="22"/>
          <w:szCs w:val="22"/>
          <w:highlight w:val="none"/>
        </w:rPr>
        <w:t>发行各方指定账户如下：</w:t>
      </w:r>
    </w:p>
    <w:p>
      <w:pPr>
        <w:spacing w:before="156" w:after="156" w:line="360" w:lineRule="auto"/>
        <w:ind w:left="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w:t>
      </w:r>
    </w:p>
    <w:p>
      <w:pPr>
        <w:spacing w:before="156" w:after="156" w:line="360" w:lineRule="auto"/>
        <w:ind w:left="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户名：温州市铁路与轨道交通投资集团有限公司</w:t>
      </w:r>
    </w:p>
    <w:p>
      <w:pPr>
        <w:spacing w:before="156" w:after="156" w:line="360" w:lineRule="auto"/>
        <w:ind w:left="41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开户行：</w:t>
      </w:r>
    </w:p>
    <w:p>
      <w:pPr>
        <w:spacing w:before="156" w:after="156" w:line="360" w:lineRule="auto"/>
        <w:ind w:left="41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账号：</w:t>
      </w:r>
      <w:r>
        <w:rPr>
          <w:rFonts w:hint="eastAsia" w:ascii="宋体" w:hAnsi="宋体" w:eastAsia="宋体" w:cs="宋体"/>
          <w:color w:val="auto"/>
          <w:sz w:val="22"/>
          <w:szCs w:val="22"/>
          <w:highlight w:val="none"/>
          <w:lang w:val="en-US" w:eastAsia="zh-CN"/>
        </w:rPr>
        <w:t xml:space="preserve"> </w:t>
      </w:r>
    </w:p>
    <w:p>
      <w:pPr>
        <w:spacing w:before="156" w:after="156" w:line="360" w:lineRule="auto"/>
        <w:ind w:left="41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中国人民银行支付系统号：</w:t>
      </w:r>
    </w:p>
    <w:p>
      <w:pPr>
        <w:spacing w:before="156" w:after="156" w:line="360" w:lineRule="auto"/>
        <w:ind w:left="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w:t>
      </w:r>
    </w:p>
    <w:p>
      <w:pPr>
        <w:spacing w:before="156" w:after="156" w:line="360" w:lineRule="auto"/>
        <w:ind w:left="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户名： </w:t>
      </w:r>
    </w:p>
    <w:p>
      <w:pPr>
        <w:spacing w:before="156" w:after="156" w:line="360" w:lineRule="auto"/>
        <w:ind w:left="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w:t>
      </w:r>
      <w:r>
        <w:rPr>
          <w:rFonts w:hint="eastAsia" w:ascii="宋体" w:hAnsi="宋体" w:eastAsia="宋体" w:cs="宋体"/>
          <w:color w:val="auto"/>
          <w:sz w:val="22"/>
          <w:szCs w:val="22"/>
          <w:highlight w:val="none"/>
          <w:lang w:val="en-US" w:eastAsia="zh-CN"/>
        </w:rPr>
        <w:t xml:space="preserve"> </w:t>
      </w:r>
    </w:p>
    <w:p>
      <w:pPr>
        <w:spacing w:before="156" w:after="156" w:line="360" w:lineRule="auto"/>
        <w:ind w:left="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账号：</w:t>
      </w:r>
      <w:r>
        <w:rPr>
          <w:rFonts w:hint="eastAsia" w:ascii="宋体" w:hAnsi="宋体" w:eastAsia="宋体" w:cs="宋体"/>
          <w:color w:val="auto"/>
          <w:sz w:val="22"/>
          <w:szCs w:val="22"/>
          <w:highlight w:val="none"/>
          <w:lang w:val="en-US" w:eastAsia="zh-CN"/>
        </w:rPr>
        <w:t xml:space="preserve"> </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中国人民银行支付系统号：</w:t>
      </w:r>
      <w:r>
        <w:rPr>
          <w:rFonts w:hint="eastAsia" w:ascii="宋体" w:hAnsi="宋体" w:eastAsia="宋体" w:cs="宋体"/>
          <w:color w:val="auto"/>
          <w:sz w:val="22"/>
          <w:szCs w:val="22"/>
          <w:highlight w:val="none"/>
          <w:lang w:val="en-US" w:eastAsia="zh-CN"/>
        </w:rPr>
        <w:t xml:space="preserve"> </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本补充协议正本一式【伍】份，【壹】份由交易商协会备案，协议签署方签署方各执【贰】份。每份正本具有相同的法律效力。</w:t>
      </w:r>
    </w:p>
    <w:p>
      <w:pPr>
        <w:pStyle w:val="24"/>
        <w:spacing w:before="156" w:after="156" w:line="360" w:lineRule="auto"/>
        <w:ind w:firstLine="0"/>
        <w:jc w:val="left"/>
        <w:rPr>
          <w:rFonts w:hint="eastAsia" w:ascii="宋体" w:hAnsi="宋体" w:eastAsia="宋体" w:cs="宋体"/>
          <w:color w:val="auto"/>
          <w:sz w:val="30"/>
          <w:szCs w:val="30"/>
          <w:highlight w:val="none"/>
        </w:rPr>
      </w:pPr>
    </w:p>
    <w:p>
      <w:pPr>
        <w:pStyle w:val="24"/>
        <w:spacing w:before="156" w:after="156" w:line="360" w:lineRule="auto"/>
        <w:ind w:firstLine="0"/>
        <w:jc w:val="left"/>
        <w:rPr>
          <w:rFonts w:hint="eastAsia" w:ascii="宋体" w:hAnsi="宋体" w:eastAsia="宋体" w:cs="宋体"/>
          <w:color w:val="auto"/>
          <w:sz w:val="30"/>
          <w:szCs w:val="30"/>
          <w:highlight w:val="none"/>
        </w:rPr>
      </w:pPr>
    </w:p>
    <w:p>
      <w:pPr>
        <w:pStyle w:val="24"/>
        <w:spacing w:before="156" w:after="156" w:line="360" w:lineRule="auto"/>
        <w:ind w:firstLine="0"/>
        <w:jc w:val="left"/>
        <w:rPr>
          <w:rFonts w:hint="eastAsia" w:ascii="宋体" w:hAnsi="宋体" w:eastAsia="宋体" w:cs="宋体"/>
          <w:color w:val="auto"/>
          <w:sz w:val="22"/>
          <w:szCs w:val="22"/>
          <w:highlight w:val="none"/>
        </w:rPr>
      </w:pPr>
      <w:r>
        <w:rPr>
          <w:rFonts w:hint="eastAsia" w:ascii="宋体" w:hAnsi="宋体" w:eastAsia="宋体" w:cs="宋体"/>
          <w:color w:val="auto"/>
          <w:sz w:val="30"/>
          <w:szCs w:val="30"/>
          <w:highlight w:val="none"/>
        </w:rPr>
        <w:br w:type="page"/>
      </w:r>
      <w:r>
        <w:rPr>
          <w:rFonts w:hint="eastAsia" w:ascii="宋体" w:hAnsi="宋体" w:eastAsia="宋体" w:cs="宋体"/>
          <w:color w:val="auto"/>
          <w:sz w:val="22"/>
          <w:szCs w:val="22"/>
          <w:highlight w:val="none"/>
        </w:rPr>
        <w:t>（本页为温州市铁路与轨道交通投资集团有限公司20</w:t>
      </w:r>
      <w:r>
        <w:rPr>
          <w:rFonts w:hint="eastAsia" w:ascii="宋体" w:hAnsi="宋体" w:eastAsia="宋体" w:cs="宋体"/>
          <w:color w:val="auto"/>
          <w:sz w:val="22"/>
          <w:szCs w:val="22"/>
          <w:highlight w:val="none"/>
          <w:lang w:val="en-US" w:eastAsia="zh-CN"/>
        </w:rPr>
        <w:t>23</w:t>
      </w:r>
      <w:r>
        <w:rPr>
          <w:rFonts w:hint="eastAsia" w:ascii="宋体" w:hAnsi="宋体" w:eastAsia="宋体" w:cs="宋体"/>
          <w:color w:val="auto"/>
          <w:sz w:val="22"/>
          <w:szCs w:val="22"/>
          <w:highlight w:val="none"/>
        </w:rPr>
        <w:t>-202</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年度超短期融资券承销协议补充协议之签署页）</w:t>
      </w: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甲方/发行方：温州市铁路与轨道交通投资集团有限公司（公章）</w:t>
      </w:r>
    </w:p>
    <w:p>
      <w:pPr>
        <w:spacing w:before="156" w:after="156" w:line="360" w:lineRule="auto"/>
        <w:ind w:firstLine="411"/>
        <w:rPr>
          <w:rFonts w:hint="eastAsia" w:ascii="宋体" w:hAnsi="宋体" w:eastAsia="宋体" w:cs="宋体"/>
          <w:color w:val="auto"/>
          <w:sz w:val="30"/>
          <w:szCs w:val="30"/>
          <w:highlight w:val="none"/>
        </w:rPr>
      </w:pPr>
    </w:p>
    <w:p>
      <w:pPr>
        <w:spacing w:before="156" w:after="156" w:line="360" w:lineRule="auto"/>
        <w:ind w:firstLine="411"/>
        <w:rPr>
          <w:rFonts w:hint="eastAsia" w:ascii="宋体" w:hAnsi="宋体" w:eastAsia="宋体" w:cs="宋体"/>
          <w:color w:val="auto"/>
          <w:sz w:val="30"/>
          <w:szCs w:val="30"/>
          <w:highlight w:val="none"/>
        </w:rPr>
      </w:pPr>
    </w:p>
    <w:p>
      <w:pPr>
        <w:spacing w:before="156" w:after="156" w:line="360" w:lineRule="auto"/>
        <w:ind w:firstLine="411"/>
        <w:rPr>
          <w:rFonts w:hint="eastAsia" w:ascii="宋体" w:hAnsi="宋体" w:eastAsia="宋体" w:cs="宋体"/>
          <w:color w:val="auto"/>
          <w:sz w:val="30"/>
          <w:szCs w:val="30"/>
          <w:highlight w:val="none"/>
        </w:rPr>
      </w:pPr>
    </w:p>
    <w:p>
      <w:pPr>
        <w:spacing w:before="156" w:after="156" w:line="360" w:lineRule="auto"/>
        <w:ind w:firstLine="411"/>
        <w:rPr>
          <w:rFonts w:hint="eastAsia" w:ascii="宋体" w:hAnsi="宋体" w:eastAsia="宋体" w:cs="宋体"/>
          <w:color w:val="auto"/>
          <w:sz w:val="30"/>
          <w:szCs w:val="30"/>
          <w:highlight w:val="none"/>
        </w:rPr>
      </w:pP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法定代表人或授权代表人 （签字）</w:t>
      </w:r>
    </w:p>
    <w:p>
      <w:pPr>
        <w:spacing w:before="156" w:after="156" w:line="360" w:lineRule="auto"/>
        <w:ind w:firstLine="1144" w:firstLineChars="5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月     日</w:t>
      </w:r>
    </w:p>
    <w:p>
      <w:pPr>
        <w:spacing w:before="156" w:after="156" w:line="360" w:lineRule="auto"/>
        <w:ind w:firstLine="1560" w:firstLineChars="520"/>
        <w:rPr>
          <w:rFonts w:hint="eastAsia" w:ascii="宋体" w:hAnsi="宋体" w:eastAsia="宋体" w:cs="宋体"/>
          <w:color w:val="auto"/>
          <w:sz w:val="30"/>
          <w:szCs w:val="30"/>
          <w:highlight w:val="none"/>
        </w:rPr>
      </w:pPr>
    </w:p>
    <w:p>
      <w:pPr>
        <w:spacing w:before="156" w:after="156" w:line="360" w:lineRule="auto"/>
        <w:ind w:firstLine="1560" w:firstLineChars="520"/>
        <w:rPr>
          <w:rFonts w:hint="eastAsia" w:ascii="宋体" w:hAnsi="宋体" w:eastAsia="宋体" w:cs="宋体"/>
          <w:color w:val="auto"/>
          <w:sz w:val="30"/>
          <w:szCs w:val="30"/>
          <w:highlight w:val="none"/>
        </w:rPr>
      </w:pPr>
    </w:p>
    <w:p>
      <w:pPr>
        <w:spacing w:before="156" w:after="156" w:line="360" w:lineRule="auto"/>
        <w:ind w:firstLine="1560" w:firstLineChars="520"/>
        <w:rPr>
          <w:rFonts w:hint="eastAsia" w:ascii="宋体" w:hAnsi="宋体" w:eastAsia="宋体" w:cs="宋体"/>
          <w:color w:val="auto"/>
          <w:sz w:val="30"/>
          <w:szCs w:val="30"/>
          <w:highlight w:val="none"/>
        </w:rPr>
      </w:pPr>
    </w:p>
    <w:p>
      <w:pPr>
        <w:spacing w:before="156" w:after="156" w:line="360" w:lineRule="auto"/>
        <w:ind w:firstLine="1560" w:firstLineChars="520"/>
        <w:rPr>
          <w:rFonts w:hint="eastAsia" w:ascii="宋体" w:hAnsi="宋体" w:eastAsia="宋体" w:cs="宋体"/>
          <w:color w:val="auto"/>
          <w:sz w:val="30"/>
          <w:szCs w:val="30"/>
          <w:highlight w:val="none"/>
        </w:rPr>
      </w:pPr>
    </w:p>
    <w:p>
      <w:pPr>
        <w:spacing w:before="156" w:after="156" w:line="360" w:lineRule="auto"/>
        <w:ind w:firstLine="1560" w:firstLineChars="520"/>
        <w:rPr>
          <w:rFonts w:hint="eastAsia" w:ascii="宋体" w:hAnsi="宋体" w:eastAsia="宋体" w:cs="宋体"/>
          <w:color w:val="auto"/>
          <w:sz w:val="30"/>
          <w:szCs w:val="30"/>
          <w:highlight w:val="none"/>
        </w:rPr>
      </w:pPr>
    </w:p>
    <w:p>
      <w:pPr>
        <w:pStyle w:val="24"/>
        <w:spacing w:before="156" w:after="156" w:line="360" w:lineRule="auto"/>
        <w:ind w:firstLine="0"/>
        <w:jc w:val="left"/>
        <w:rPr>
          <w:rFonts w:hint="eastAsia" w:ascii="宋体" w:hAnsi="宋体" w:eastAsia="宋体" w:cs="宋体"/>
          <w:color w:val="auto"/>
          <w:sz w:val="22"/>
          <w:szCs w:val="22"/>
          <w:highlight w:val="none"/>
        </w:rPr>
      </w:pPr>
      <w:r>
        <w:rPr>
          <w:rFonts w:hint="eastAsia" w:ascii="宋体" w:hAnsi="宋体" w:eastAsia="宋体" w:cs="宋体"/>
          <w:color w:val="auto"/>
          <w:sz w:val="30"/>
          <w:szCs w:val="30"/>
          <w:highlight w:val="none"/>
        </w:rPr>
        <w:br w:type="page"/>
      </w:r>
      <w:r>
        <w:rPr>
          <w:rFonts w:hint="eastAsia" w:ascii="宋体" w:hAnsi="宋体" w:eastAsia="宋体" w:cs="宋体"/>
          <w:color w:val="auto"/>
          <w:sz w:val="22"/>
          <w:szCs w:val="22"/>
          <w:highlight w:val="none"/>
        </w:rPr>
        <w:t>（本页为温州市铁路与轨道交通投资集团有限公司20</w:t>
      </w:r>
      <w:r>
        <w:rPr>
          <w:rFonts w:hint="eastAsia" w:ascii="宋体" w:hAnsi="宋体" w:eastAsia="宋体" w:cs="宋体"/>
          <w:color w:val="auto"/>
          <w:sz w:val="22"/>
          <w:szCs w:val="22"/>
          <w:highlight w:val="none"/>
          <w:lang w:val="en-US" w:eastAsia="zh-CN"/>
        </w:rPr>
        <w:t>23</w:t>
      </w:r>
      <w:r>
        <w:rPr>
          <w:rFonts w:hint="eastAsia" w:ascii="宋体" w:hAnsi="宋体" w:eastAsia="宋体" w:cs="宋体"/>
          <w:color w:val="auto"/>
          <w:sz w:val="22"/>
          <w:szCs w:val="22"/>
          <w:highlight w:val="none"/>
        </w:rPr>
        <w:t>-202</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年度超短期融资券承销协议补充协议之签署页）</w:t>
      </w:r>
    </w:p>
    <w:p>
      <w:pPr>
        <w:pStyle w:val="24"/>
        <w:spacing w:before="156" w:after="156" w:line="360" w:lineRule="auto"/>
        <w:ind w:firstLine="480"/>
        <w:rPr>
          <w:rFonts w:hint="eastAsia" w:ascii="宋体" w:hAnsi="宋体" w:eastAsia="宋体" w:cs="宋体"/>
          <w:b/>
          <w:color w:val="auto"/>
          <w:sz w:val="22"/>
          <w:szCs w:val="22"/>
          <w:highlight w:val="none"/>
        </w:rPr>
      </w:pP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乙方/承销方:</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（公章）</w:t>
      </w:r>
    </w:p>
    <w:p>
      <w:pPr>
        <w:spacing w:before="156" w:after="156" w:line="360" w:lineRule="auto"/>
        <w:ind w:firstLine="411"/>
        <w:rPr>
          <w:rFonts w:hint="eastAsia" w:ascii="宋体" w:hAnsi="宋体" w:eastAsia="宋体" w:cs="宋体"/>
          <w:color w:val="auto"/>
          <w:sz w:val="22"/>
          <w:szCs w:val="22"/>
          <w:highlight w:val="none"/>
        </w:rPr>
      </w:pPr>
    </w:p>
    <w:p>
      <w:pPr>
        <w:spacing w:before="156" w:after="156" w:line="360" w:lineRule="auto"/>
        <w:ind w:firstLine="411"/>
        <w:rPr>
          <w:rFonts w:hint="eastAsia" w:ascii="宋体" w:hAnsi="宋体" w:eastAsia="宋体" w:cs="宋体"/>
          <w:color w:val="auto"/>
          <w:sz w:val="22"/>
          <w:szCs w:val="22"/>
          <w:highlight w:val="none"/>
        </w:rPr>
      </w:pPr>
    </w:p>
    <w:p>
      <w:pPr>
        <w:spacing w:before="156" w:after="156" w:line="360" w:lineRule="auto"/>
        <w:ind w:firstLine="411"/>
        <w:rPr>
          <w:rFonts w:hint="eastAsia" w:ascii="宋体" w:hAnsi="宋体" w:eastAsia="宋体" w:cs="宋体"/>
          <w:color w:val="auto"/>
          <w:sz w:val="22"/>
          <w:szCs w:val="22"/>
          <w:highlight w:val="none"/>
        </w:rPr>
      </w:pPr>
    </w:p>
    <w:p>
      <w:pPr>
        <w:spacing w:before="156" w:after="156" w:line="360" w:lineRule="auto"/>
        <w:ind w:firstLine="411"/>
        <w:rPr>
          <w:rFonts w:hint="eastAsia" w:ascii="宋体" w:hAnsi="宋体" w:eastAsia="宋体" w:cs="宋体"/>
          <w:color w:val="auto"/>
          <w:sz w:val="22"/>
          <w:szCs w:val="22"/>
          <w:highlight w:val="none"/>
        </w:rPr>
      </w:pPr>
    </w:p>
    <w:p>
      <w:pPr>
        <w:spacing w:before="156" w:after="156" w:line="360" w:lineRule="auto"/>
        <w:ind w:firstLine="4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法定代表人或授权代表人 （签字）</w:t>
      </w:r>
    </w:p>
    <w:p>
      <w:pPr>
        <w:spacing w:before="156" w:after="156" w:line="360" w:lineRule="auto"/>
        <w:ind w:firstLine="1034" w:firstLineChars="47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月     日</w:t>
      </w:r>
    </w:p>
    <w:p>
      <w:pPr>
        <w:rPr>
          <w:rFonts w:hint="eastAsia" w:ascii="宋体" w:hAnsi="宋体" w:eastAsia="宋体" w:cs="宋体"/>
          <w:color w:val="auto"/>
          <w:highlight w:val="none"/>
        </w:rPr>
      </w:pPr>
    </w:p>
    <w:p>
      <w:pPr>
        <w:snapToGrid w:val="0"/>
        <w:spacing w:line="500" w:lineRule="exact"/>
        <w:jc w:val="both"/>
        <w:rPr>
          <w:rFonts w:hint="eastAsia" w:ascii="宋体" w:hAnsi="宋体" w:eastAsia="宋体" w:cs="宋体"/>
          <w:b/>
          <w:color w:val="auto"/>
          <w:kern w:val="0"/>
          <w:sz w:val="44"/>
          <w:szCs w:val="44"/>
          <w:highlight w:val="none"/>
        </w:rPr>
      </w:pPr>
      <w:r>
        <w:rPr>
          <w:rFonts w:hint="eastAsia" w:ascii="宋体" w:hAnsi="宋体" w:eastAsia="宋体" w:cs="宋体"/>
          <w:b/>
          <w:bCs/>
          <w:color w:val="auto"/>
          <w:kern w:val="0"/>
          <w:sz w:val="44"/>
          <w:szCs w:val="44"/>
          <w:highlight w:val="none"/>
          <w:lang w:val="en-US" w:eastAsia="zh-CN"/>
        </w:rPr>
        <w:br w:type="page"/>
      </w:r>
      <w:r>
        <w:rPr>
          <w:rFonts w:hint="eastAsia" w:ascii="宋体" w:hAnsi="宋体" w:eastAsia="宋体" w:cs="宋体"/>
          <w:b/>
          <w:bCs/>
          <w:color w:val="auto"/>
          <w:kern w:val="0"/>
          <w:sz w:val="36"/>
          <w:szCs w:val="36"/>
          <w:highlight w:val="none"/>
          <w:lang w:val="en-US" w:eastAsia="zh-CN"/>
        </w:rPr>
        <w:t>四、</w:t>
      </w:r>
      <w:r>
        <w:rPr>
          <w:rFonts w:hint="eastAsia" w:ascii="宋体" w:hAnsi="宋体" w:eastAsia="宋体" w:cs="宋体"/>
          <w:b/>
          <w:bCs/>
          <w:color w:val="auto"/>
          <w:kern w:val="0"/>
          <w:sz w:val="36"/>
          <w:szCs w:val="36"/>
          <w:highlight w:val="none"/>
          <w:lang w:val="zh-CN"/>
        </w:rPr>
        <w:t>温州市铁路与轨道交通投资集团有限公司202</w:t>
      </w:r>
      <w:r>
        <w:rPr>
          <w:rFonts w:hint="eastAsia" w:ascii="宋体" w:hAnsi="宋体" w:eastAsia="宋体" w:cs="宋体"/>
          <w:b/>
          <w:bCs/>
          <w:color w:val="auto"/>
          <w:kern w:val="0"/>
          <w:sz w:val="36"/>
          <w:szCs w:val="36"/>
          <w:highlight w:val="none"/>
          <w:lang w:val="en-US" w:eastAsia="zh-CN"/>
        </w:rPr>
        <w:t>X</w:t>
      </w:r>
      <w:r>
        <w:rPr>
          <w:rFonts w:hint="eastAsia" w:ascii="宋体" w:hAnsi="宋体" w:eastAsia="宋体" w:cs="宋体"/>
          <w:b/>
          <w:bCs/>
          <w:color w:val="auto"/>
          <w:kern w:val="0"/>
          <w:sz w:val="36"/>
          <w:szCs w:val="36"/>
          <w:highlight w:val="none"/>
          <w:lang w:val="zh-CN"/>
        </w:rPr>
        <w:t>年度第</w:t>
      </w:r>
      <w:r>
        <w:rPr>
          <w:rFonts w:hint="eastAsia" w:ascii="宋体" w:hAnsi="宋体" w:eastAsia="宋体" w:cs="宋体"/>
          <w:b/>
          <w:bCs/>
          <w:color w:val="auto"/>
          <w:kern w:val="0"/>
          <w:sz w:val="36"/>
          <w:szCs w:val="36"/>
          <w:highlight w:val="none"/>
          <w:lang w:val="en-US" w:eastAsia="zh-CN"/>
        </w:rPr>
        <w:t>N</w:t>
      </w:r>
      <w:r>
        <w:rPr>
          <w:rFonts w:hint="eastAsia" w:ascii="宋体" w:hAnsi="宋体" w:eastAsia="宋体" w:cs="宋体"/>
          <w:b/>
          <w:bCs/>
          <w:color w:val="auto"/>
          <w:kern w:val="0"/>
          <w:sz w:val="36"/>
          <w:szCs w:val="36"/>
          <w:highlight w:val="none"/>
          <w:lang w:val="zh-CN"/>
        </w:rPr>
        <w:t>期超短期融资券募集资金账户监管协议</w:t>
      </w:r>
      <w:r>
        <w:rPr>
          <w:rFonts w:hint="eastAsia" w:ascii="宋体" w:hAnsi="宋体" w:eastAsia="宋体" w:cs="宋体"/>
          <w:b/>
          <w:color w:val="auto"/>
          <w:kern w:val="0"/>
          <w:sz w:val="36"/>
          <w:szCs w:val="36"/>
          <w:highlight w:val="none"/>
        </w:rPr>
        <w:tab/>
      </w:r>
    </w:p>
    <w:p>
      <w:pPr>
        <w:snapToGrid w:val="0"/>
        <w:spacing w:line="500" w:lineRule="exact"/>
        <w:jc w:val="center"/>
        <w:rPr>
          <w:rFonts w:hint="eastAsia" w:ascii="宋体" w:hAnsi="宋体" w:eastAsia="宋体" w:cs="宋体"/>
          <w:bCs/>
          <w:color w:val="auto"/>
          <w:kern w:val="0"/>
          <w:sz w:val="24"/>
          <w:szCs w:val="24"/>
          <w:highlight w:val="none"/>
        </w:rPr>
      </w:pPr>
    </w:p>
    <w:p>
      <w:pPr>
        <w:snapToGrid w:val="0"/>
        <w:spacing w:line="500" w:lineRule="exact"/>
        <w:jc w:val="center"/>
        <w:rPr>
          <w:rFonts w:hint="eastAsia" w:ascii="宋体" w:hAnsi="宋体" w:eastAsia="宋体" w:cs="宋体"/>
          <w:color w:val="auto"/>
          <w:kern w:val="0"/>
          <w:sz w:val="24"/>
          <w:szCs w:val="20"/>
          <w:highlight w:val="none"/>
          <w:lang w:val="en-US" w:eastAsia="zh-CN"/>
        </w:rPr>
      </w:pPr>
      <w:r>
        <w:rPr>
          <w:rFonts w:hint="eastAsia" w:ascii="宋体" w:hAnsi="宋体" w:eastAsia="宋体" w:cs="宋体"/>
          <w:bCs/>
          <w:color w:val="auto"/>
          <w:kern w:val="0"/>
          <w:sz w:val="24"/>
          <w:szCs w:val="24"/>
          <w:highlight w:val="none"/>
        </w:rPr>
        <w:t>编号：</w:t>
      </w:r>
    </w:p>
    <w:p>
      <w:pPr>
        <w:spacing w:line="500" w:lineRule="exact"/>
        <w:rPr>
          <w:rFonts w:hint="eastAsia" w:ascii="宋体" w:hAnsi="宋体" w:eastAsia="宋体" w:cs="宋体"/>
          <w:color w:val="auto"/>
          <w:kern w:val="0"/>
          <w:sz w:val="24"/>
          <w:szCs w:val="20"/>
          <w:highlight w:val="none"/>
        </w:rPr>
      </w:pPr>
    </w:p>
    <w:p>
      <w:pPr>
        <w:spacing w:line="500" w:lineRule="exact"/>
        <w:rPr>
          <w:rFonts w:hint="eastAsia" w:ascii="宋体" w:hAnsi="宋体" w:eastAsia="宋体" w:cs="宋体"/>
          <w:color w:val="auto"/>
          <w:kern w:val="0"/>
          <w:sz w:val="24"/>
          <w:szCs w:val="20"/>
          <w:highlight w:val="none"/>
        </w:rPr>
      </w:pPr>
    </w:p>
    <w:p>
      <w:pPr>
        <w:widowControl/>
        <w:spacing w:line="500" w:lineRule="exact"/>
        <w:ind w:firstLine="1120"/>
        <w:rPr>
          <w:rFonts w:hint="eastAsia" w:ascii="宋体" w:hAnsi="宋体" w:eastAsia="宋体" w:cs="宋体"/>
          <w:color w:val="auto"/>
          <w:kern w:val="0"/>
          <w:sz w:val="24"/>
          <w:szCs w:val="20"/>
          <w:highlight w:val="none"/>
          <w:u w:val="none"/>
        </w:rPr>
      </w:pPr>
      <w:r>
        <w:rPr>
          <w:rFonts w:hint="eastAsia" w:ascii="宋体" w:hAnsi="宋体" w:eastAsia="宋体" w:cs="宋体"/>
          <w:color w:val="auto"/>
          <w:kern w:val="0"/>
          <w:sz w:val="24"/>
          <w:szCs w:val="20"/>
          <w:highlight w:val="none"/>
        </w:rPr>
        <w:t>甲方：</w:t>
      </w:r>
      <w:r>
        <w:rPr>
          <w:rFonts w:hint="eastAsia" w:ascii="宋体" w:hAnsi="宋体" w:eastAsia="宋体" w:cs="宋体"/>
          <w:color w:val="auto"/>
          <w:kern w:val="0"/>
          <w:sz w:val="24"/>
          <w:szCs w:val="20"/>
          <w:highlight w:val="none"/>
          <w:u w:val="none"/>
        </w:rPr>
        <w:t xml:space="preserve">          温州市铁路与轨道交通投资集团有限公司        </w:t>
      </w:r>
    </w:p>
    <w:p>
      <w:pPr>
        <w:widowControl/>
        <w:spacing w:line="500" w:lineRule="exact"/>
        <w:ind w:firstLine="1120"/>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法定代表人：</w:t>
      </w:r>
      <w:r>
        <w:rPr>
          <w:rFonts w:hint="eastAsia" w:ascii="宋体" w:hAnsi="宋体" w:eastAsia="宋体" w:cs="宋体"/>
          <w:color w:val="auto"/>
          <w:kern w:val="0"/>
          <w:sz w:val="24"/>
          <w:szCs w:val="20"/>
          <w:highlight w:val="none"/>
          <w:u w:val="single"/>
        </w:rPr>
        <w:t xml:space="preserve">                   朱三平                       </w:t>
      </w:r>
    </w:p>
    <w:p>
      <w:pPr>
        <w:widowControl/>
        <w:spacing w:line="500" w:lineRule="exact"/>
        <w:ind w:firstLine="112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通讯地址：</w:t>
      </w:r>
      <w:r>
        <w:rPr>
          <w:rFonts w:hint="eastAsia" w:ascii="宋体" w:hAnsi="宋体" w:eastAsia="宋体" w:cs="宋体"/>
          <w:color w:val="auto"/>
          <w:kern w:val="0"/>
          <w:sz w:val="24"/>
          <w:highlight w:val="none"/>
          <w:u w:val="single"/>
        </w:rPr>
        <w:t xml:space="preserve">温州鹿城区温州大道2305号温州市轨道交通控制中心  </w:t>
      </w:r>
    </w:p>
    <w:p>
      <w:pPr>
        <w:widowControl/>
        <w:spacing w:line="500" w:lineRule="exact"/>
        <w:ind w:firstLine="1120"/>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邮  编：</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highlight w:val="none"/>
          <w:u w:val="single"/>
        </w:rPr>
        <w:t xml:space="preserve">                  325000 </w:t>
      </w:r>
      <w:r>
        <w:rPr>
          <w:rFonts w:hint="eastAsia" w:ascii="宋体" w:hAnsi="宋体" w:eastAsia="宋体" w:cs="宋体"/>
          <w:color w:val="auto"/>
          <w:kern w:val="0"/>
          <w:sz w:val="24"/>
          <w:szCs w:val="20"/>
          <w:highlight w:val="none"/>
          <w:u w:val="single"/>
        </w:rPr>
        <w:t xml:space="preserve">                       </w:t>
      </w:r>
    </w:p>
    <w:p>
      <w:pPr>
        <w:widowControl/>
        <w:spacing w:line="500" w:lineRule="exact"/>
        <w:ind w:firstLine="1120"/>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联系人：</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干棪旭</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rPr>
        <w:t xml:space="preserve"> </w:t>
      </w:r>
    </w:p>
    <w:p>
      <w:pPr>
        <w:widowControl/>
        <w:spacing w:line="500" w:lineRule="exact"/>
        <w:ind w:firstLine="1120"/>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联系电话：</w:t>
      </w:r>
      <w:r>
        <w:rPr>
          <w:rFonts w:hint="eastAsia" w:ascii="宋体" w:hAnsi="宋体" w:eastAsia="宋体" w:cs="宋体"/>
          <w:color w:val="auto"/>
          <w:kern w:val="0"/>
          <w:sz w:val="24"/>
          <w:szCs w:val="20"/>
          <w:highlight w:val="none"/>
          <w:u w:val="single"/>
        </w:rPr>
        <w:t xml:space="preserve">                  0577-8972759</w:t>
      </w:r>
      <w:r>
        <w:rPr>
          <w:rFonts w:hint="eastAsia" w:ascii="宋体" w:hAnsi="宋体" w:eastAsia="宋体" w:cs="宋体"/>
          <w:color w:val="auto"/>
          <w:kern w:val="0"/>
          <w:sz w:val="24"/>
          <w:szCs w:val="20"/>
          <w:highlight w:val="none"/>
          <w:u w:val="single"/>
          <w:lang w:val="en-US" w:eastAsia="zh-CN"/>
        </w:rPr>
        <w:t>8</w:t>
      </w:r>
      <w:r>
        <w:rPr>
          <w:rFonts w:hint="eastAsia" w:ascii="宋体" w:hAnsi="宋体" w:eastAsia="宋体" w:cs="宋体"/>
          <w:color w:val="auto"/>
          <w:kern w:val="0"/>
          <w:sz w:val="24"/>
          <w:szCs w:val="20"/>
          <w:highlight w:val="none"/>
          <w:u w:val="single"/>
        </w:rPr>
        <w:t xml:space="preserve">                   </w:t>
      </w:r>
    </w:p>
    <w:p>
      <w:pPr>
        <w:widowControl/>
        <w:spacing w:line="500" w:lineRule="exact"/>
        <w:ind w:firstLine="1120"/>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电子邮箱：</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"mailto:47963847@qq.com" </w:instrText>
      </w:r>
      <w:r>
        <w:rPr>
          <w:rFonts w:hint="eastAsia" w:ascii="宋体" w:hAnsi="宋体" w:eastAsia="宋体" w:cs="宋体"/>
          <w:color w:val="auto"/>
          <w:highlight w:val="none"/>
        </w:rPr>
        <w:fldChar w:fldCharType="separate"/>
      </w:r>
      <w:r>
        <w:rPr>
          <w:rStyle w:val="33"/>
          <w:rFonts w:hint="eastAsia" w:ascii="宋体" w:hAnsi="宋体" w:eastAsia="宋体" w:cs="宋体"/>
          <w:color w:val="auto"/>
          <w:kern w:val="0"/>
          <w:sz w:val="24"/>
          <w:szCs w:val="20"/>
          <w:highlight w:val="none"/>
          <w:lang w:val="en-US" w:eastAsia="zh-CN"/>
        </w:rPr>
        <w:t>517655631</w:t>
      </w:r>
      <w:r>
        <w:rPr>
          <w:rStyle w:val="33"/>
          <w:rFonts w:hint="eastAsia" w:ascii="宋体" w:hAnsi="宋体" w:eastAsia="宋体" w:cs="宋体"/>
          <w:color w:val="auto"/>
          <w:kern w:val="0"/>
          <w:sz w:val="24"/>
          <w:szCs w:val="20"/>
          <w:highlight w:val="none"/>
        </w:rPr>
        <w:t>@qq.com</w:t>
      </w:r>
      <w:r>
        <w:rPr>
          <w:rStyle w:val="33"/>
          <w:rFonts w:hint="eastAsia" w:ascii="宋体" w:hAnsi="宋体" w:eastAsia="宋体" w:cs="宋体"/>
          <w:color w:val="auto"/>
          <w:kern w:val="0"/>
          <w:sz w:val="24"/>
          <w:szCs w:val="20"/>
          <w:highlight w:val="none"/>
        </w:rPr>
        <w:fldChar w:fldCharType="end"/>
      </w:r>
      <w:r>
        <w:rPr>
          <w:rFonts w:hint="eastAsia" w:ascii="宋体" w:hAnsi="宋体" w:eastAsia="宋体" w:cs="宋体"/>
          <w:color w:val="auto"/>
          <w:kern w:val="0"/>
          <w:sz w:val="24"/>
          <w:szCs w:val="20"/>
          <w:highlight w:val="none"/>
          <w:u w:val="single"/>
        </w:rPr>
        <w:t xml:space="preserve">                   </w:t>
      </w:r>
    </w:p>
    <w:p>
      <w:pPr>
        <w:widowControl/>
        <w:spacing w:line="500" w:lineRule="exact"/>
        <w:rPr>
          <w:rFonts w:hint="eastAsia" w:ascii="宋体" w:hAnsi="宋体" w:eastAsia="宋体" w:cs="宋体"/>
          <w:color w:val="auto"/>
          <w:kern w:val="0"/>
          <w:sz w:val="24"/>
          <w:szCs w:val="20"/>
          <w:highlight w:val="none"/>
        </w:rPr>
      </w:pPr>
    </w:p>
    <w:p>
      <w:pPr>
        <w:widowControl/>
        <w:spacing w:line="500" w:lineRule="exact"/>
        <w:ind w:firstLine="1120"/>
        <w:rPr>
          <w:rFonts w:hint="eastAsia" w:ascii="宋体" w:hAnsi="宋体" w:eastAsia="宋体" w:cs="宋体"/>
          <w:color w:val="auto"/>
          <w:kern w:val="0"/>
          <w:sz w:val="24"/>
          <w:szCs w:val="20"/>
          <w:highlight w:val="none"/>
        </w:rPr>
      </w:pPr>
    </w:p>
    <w:p>
      <w:pPr>
        <w:widowControl/>
        <w:spacing w:line="500" w:lineRule="exact"/>
        <w:ind w:firstLine="1120"/>
        <w:rPr>
          <w:rFonts w:hint="eastAsia" w:ascii="宋体" w:hAnsi="宋体" w:eastAsia="宋体" w:cs="宋体"/>
          <w:color w:val="auto"/>
          <w:kern w:val="0"/>
          <w:sz w:val="24"/>
          <w:szCs w:val="20"/>
          <w:highlight w:val="none"/>
          <w:u w:val="single"/>
        </w:rPr>
      </w:pPr>
      <w:r>
        <w:rPr>
          <w:rFonts w:hint="eastAsia" w:ascii="宋体" w:hAnsi="宋体" w:eastAsia="宋体" w:cs="宋体"/>
          <w:color w:val="auto"/>
          <w:kern w:val="0"/>
          <w:sz w:val="24"/>
          <w:szCs w:val="20"/>
          <w:highlight w:val="none"/>
        </w:rPr>
        <w:t>乙方：</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 xml:space="preserve">                           </w:t>
      </w:r>
      <w:r>
        <w:rPr>
          <w:rFonts w:hint="eastAsia" w:ascii="宋体" w:hAnsi="宋体" w:eastAsia="宋体" w:cs="宋体"/>
          <w:color w:val="auto"/>
          <w:kern w:val="0"/>
          <w:sz w:val="24"/>
          <w:szCs w:val="20"/>
          <w:highlight w:val="none"/>
          <w:u w:val="single"/>
        </w:rPr>
        <w:t xml:space="preserve">     </w:t>
      </w:r>
    </w:p>
    <w:p>
      <w:pPr>
        <w:widowControl/>
        <w:spacing w:line="500" w:lineRule="exact"/>
        <w:ind w:firstLine="1120"/>
        <w:rPr>
          <w:rFonts w:hint="eastAsia" w:ascii="宋体" w:hAnsi="宋体" w:eastAsia="宋体" w:cs="宋体"/>
          <w:color w:val="auto"/>
          <w:kern w:val="0"/>
          <w:sz w:val="24"/>
          <w:szCs w:val="20"/>
          <w:highlight w:val="none"/>
          <w:u w:val="single"/>
        </w:rPr>
      </w:pPr>
      <w:r>
        <w:rPr>
          <w:rFonts w:hint="eastAsia" w:ascii="宋体" w:hAnsi="宋体" w:eastAsia="宋体" w:cs="宋体"/>
          <w:color w:val="auto"/>
          <w:kern w:val="0"/>
          <w:sz w:val="24"/>
          <w:szCs w:val="20"/>
          <w:highlight w:val="none"/>
        </w:rPr>
        <w:t>负责人：</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 xml:space="preserve">      </w:t>
      </w:r>
      <w:r>
        <w:rPr>
          <w:rFonts w:hint="eastAsia" w:ascii="宋体" w:hAnsi="宋体" w:eastAsia="宋体" w:cs="宋体"/>
          <w:color w:val="auto"/>
          <w:kern w:val="0"/>
          <w:sz w:val="24"/>
          <w:szCs w:val="20"/>
          <w:highlight w:val="none"/>
          <w:u w:val="single"/>
        </w:rPr>
        <w:t xml:space="preserve">                             </w:t>
      </w:r>
    </w:p>
    <w:p>
      <w:pPr>
        <w:widowControl/>
        <w:spacing w:line="500" w:lineRule="exact"/>
        <w:ind w:firstLine="1120"/>
        <w:rPr>
          <w:rFonts w:hint="eastAsia" w:ascii="宋体" w:hAnsi="宋体" w:eastAsia="宋体" w:cs="宋体"/>
          <w:color w:val="auto"/>
          <w:kern w:val="0"/>
          <w:sz w:val="24"/>
          <w:szCs w:val="20"/>
          <w:highlight w:val="none"/>
          <w:lang w:val="en-US" w:eastAsia="zh-CN"/>
        </w:rPr>
      </w:pPr>
      <w:r>
        <w:rPr>
          <w:rFonts w:hint="eastAsia" w:ascii="宋体" w:hAnsi="宋体" w:eastAsia="宋体" w:cs="宋体"/>
          <w:color w:val="auto"/>
          <w:kern w:val="0"/>
          <w:sz w:val="24"/>
          <w:szCs w:val="20"/>
          <w:highlight w:val="none"/>
        </w:rPr>
        <w:t>通讯地址：</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 xml:space="preserve">                                           </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 xml:space="preserve">  </w:t>
      </w:r>
      <w:r>
        <w:rPr>
          <w:rFonts w:hint="eastAsia" w:ascii="宋体" w:hAnsi="宋体" w:eastAsia="宋体" w:cs="宋体"/>
          <w:color w:val="auto"/>
          <w:kern w:val="0"/>
          <w:sz w:val="24"/>
          <w:szCs w:val="20"/>
          <w:highlight w:val="none"/>
          <w:lang w:val="en-US" w:eastAsia="zh-CN"/>
        </w:rPr>
        <w:t xml:space="preserve"> </w:t>
      </w:r>
    </w:p>
    <w:p>
      <w:pPr>
        <w:widowControl/>
        <w:spacing w:line="500" w:lineRule="exact"/>
        <w:ind w:firstLine="1120"/>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邮编：</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 xml:space="preserve">      </w:t>
      </w:r>
      <w:r>
        <w:rPr>
          <w:rFonts w:hint="eastAsia" w:ascii="宋体" w:hAnsi="宋体" w:eastAsia="宋体" w:cs="宋体"/>
          <w:color w:val="auto"/>
          <w:kern w:val="0"/>
          <w:sz w:val="24"/>
          <w:szCs w:val="20"/>
          <w:highlight w:val="none"/>
          <w:u w:val="single"/>
        </w:rPr>
        <w:t xml:space="preserve">      </w:t>
      </w:r>
    </w:p>
    <w:p>
      <w:pPr>
        <w:widowControl/>
        <w:spacing w:line="500" w:lineRule="exact"/>
        <w:ind w:firstLine="1120"/>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联系人：</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 xml:space="preserve">     </w:t>
      </w:r>
      <w:r>
        <w:rPr>
          <w:rFonts w:hint="eastAsia" w:ascii="宋体" w:hAnsi="宋体" w:eastAsia="宋体" w:cs="宋体"/>
          <w:color w:val="auto"/>
          <w:kern w:val="0"/>
          <w:sz w:val="24"/>
          <w:szCs w:val="20"/>
          <w:highlight w:val="none"/>
          <w:u w:val="single"/>
        </w:rPr>
        <w:t xml:space="preserve">   </w:t>
      </w:r>
    </w:p>
    <w:p>
      <w:pPr>
        <w:widowControl/>
        <w:spacing w:line="500" w:lineRule="exact"/>
        <w:ind w:firstLine="1120"/>
        <w:rPr>
          <w:rFonts w:hint="eastAsia" w:ascii="宋体" w:hAnsi="宋体" w:eastAsia="宋体" w:cs="宋体"/>
          <w:color w:val="auto"/>
          <w:kern w:val="0"/>
          <w:sz w:val="24"/>
          <w:szCs w:val="20"/>
          <w:highlight w:val="none"/>
          <w:lang w:val="en-US" w:eastAsia="zh-CN"/>
        </w:rPr>
      </w:pPr>
      <w:r>
        <w:rPr>
          <w:rFonts w:hint="eastAsia" w:ascii="宋体" w:hAnsi="宋体" w:eastAsia="宋体" w:cs="宋体"/>
          <w:color w:val="auto"/>
          <w:kern w:val="0"/>
          <w:sz w:val="24"/>
          <w:szCs w:val="20"/>
          <w:highlight w:val="none"/>
        </w:rPr>
        <w:t>联系电话：</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 xml:space="preserve">           </w:t>
      </w:r>
    </w:p>
    <w:p>
      <w:pPr>
        <w:widowControl/>
        <w:spacing w:line="500" w:lineRule="exact"/>
        <w:ind w:firstLine="1120"/>
        <w:rPr>
          <w:rFonts w:hint="eastAsia" w:ascii="宋体" w:hAnsi="宋体" w:eastAsia="宋体" w:cs="宋体"/>
          <w:color w:val="auto"/>
          <w:kern w:val="0"/>
          <w:sz w:val="24"/>
          <w:szCs w:val="20"/>
          <w:highlight w:val="none"/>
          <w:lang w:val="en-US" w:eastAsia="zh-CN"/>
        </w:rPr>
      </w:pPr>
      <w:r>
        <w:rPr>
          <w:rFonts w:hint="eastAsia" w:ascii="宋体" w:hAnsi="宋体" w:eastAsia="宋体" w:cs="宋体"/>
          <w:color w:val="auto"/>
          <w:kern w:val="0"/>
          <w:sz w:val="24"/>
          <w:szCs w:val="20"/>
          <w:highlight w:val="none"/>
        </w:rPr>
        <w:t>电子邮箱：</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 xml:space="preserve">                    </w:t>
      </w:r>
      <w:r>
        <w:rPr>
          <w:rFonts w:hint="eastAsia" w:ascii="宋体" w:hAnsi="宋体" w:eastAsia="宋体" w:cs="宋体"/>
          <w:color w:val="auto"/>
          <w:kern w:val="0"/>
          <w:sz w:val="24"/>
          <w:szCs w:val="20"/>
          <w:highlight w:val="none"/>
          <w:u w:val="single"/>
        </w:rPr>
        <w:t xml:space="preserve">            </w:t>
      </w:r>
      <w:r>
        <w:rPr>
          <w:rFonts w:hint="eastAsia" w:ascii="宋体" w:hAnsi="宋体" w:eastAsia="宋体" w:cs="宋体"/>
          <w:color w:val="auto"/>
          <w:kern w:val="0"/>
          <w:sz w:val="24"/>
          <w:szCs w:val="20"/>
          <w:highlight w:val="none"/>
          <w:u w:val="single"/>
          <w:lang w:val="en-US" w:eastAsia="zh-CN"/>
        </w:rPr>
        <w:t xml:space="preserve"> </w:t>
      </w:r>
    </w:p>
    <w:p>
      <w:pPr>
        <w:widowControl/>
        <w:spacing w:line="500" w:lineRule="exact"/>
        <w:ind w:firstLine="1120"/>
        <w:rPr>
          <w:rFonts w:hint="eastAsia" w:ascii="宋体" w:hAnsi="宋体" w:eastAsia="宋体" w:cs="宋体"/>
          <w:color w:val="auto"/>
          <w:kern w:val="0"/>
          <w:sz w:val="24"/>
          <w:szCs w:val="20"/>
          <w:highlight w:val="none"/>
        </w:rPr>
      </w:pPr>
    </w:p>
    <w:p>
      <w:pPr>
        <w:widowControl/>
        <w:spacing w:line="500" w:lineRule="exact"/>
        <w:ind w:firstLine="1120"/>
        <w:rPr>
          <w:rFonts w:hint="eastAsia" w:ascii="宋体" w:hAnsi="宋体" w:eastAsia="宋体" w:cs="宋体"/>
          <w:color w:val="auto"/>
          <w:kern w:val="0"/>
          <w:sz w:val="24"/>
          <w:szCs w:val="20"/>
          <w:highlight w:val="none"/>
        </w:rPr>
      </w:pPr>
    </w:p>
    <w:p>
      <w:pPr>
        <w:widowControl/>
        <w:spacing w:line="500" w:lineRule="exact"/>
        <w:ind w:firstLine="1120"/>
        <w:rPr>
          <w:rFonts w:hint="eastAsia" w:ascii="宋体" w:hAnsi="宋体" w:eastAsia="宋体" w:cs="宋体"/>
          <w:color w:val="auto"/>
          <w:kern w:val="0"/>
          <w:sz w:val="24"/>
          <w:szCs w:val="20"/>
          <w:highlight w:val="none"/>
        </w:rPr>
      </w:pPr>
    </w:p>
    <w:p>
      <w:pPr>
        <w:widowControl/>
        <w:spacing w:line="500" w:lineRule="exact"/>
        <w:ind w:firstLine="1120"/>
        <w:rPr>
          <w:rFonts w:hint="eastAsia" w:ascii="宋体" w:hAnsi="宋体" w:eastAsia="宋体" w:cs="宋体"/>
          <w:color w:val="auto"/>
          <w:kern w:val="0"/>
          <w:sz w:val="24"/>
          <w:szCs w:val="20"/>
          <w:highlight w:val="none"/>
        </w:rPr>
      </w:pPr>
    </w:p>
    <w:p>
      <w:pPr>
        <w:widowControl/>
        <w:spacing w:line="500" w:lineRule="exact"/>
        <w:ind w:firstLine="1120"/>
        <w:rPr>
          <w:rFonts w:hint="eastAsia" w:ascii="宋体" w:hAnsi="宋体" w:eastAsia="宋体" w:cs="宋体"/>
          <w:color w:val="auto"/>
          <w:kern w:val="0"/>
          <w:sz w:val="24"/>
          <w:szCs w:val="20"/>
          <w:highlight w:val="none"/>
        </w:rPr>
      </w:pPr>
    </w:p>
    <w:p>
      <w:pPr>
        <w:widowControl/>
        <w:tabs>
          <w:tab w:val="left" w:pos="630"/>
          <w:tab w:val="left" w:pos="1260"/>
          <w:tab w:val="left" w:pos="1890"/>
        </w:tabs>
        <w:overflowPunct w:val="0"/>
        <w:autoSpaceDE w:val="0"/>
        <w:autoSpaceDN w:val="0"/>
        <w:adjustRightInd w:val="0"/>
        <w:snapToGrid w:val="0"/>
        <w:spacing w:line="360" w:lineRule="auto"/>
        <w:ind w:firstLine="47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鉴于：</w:t>
      </w:r>
    </w:p>
    <w:p>
      <w:pPr>
        <w:widowControl/>
        <w:snapToGrid w:val="0"/>
        <w:spacing w:line="360" w:lineRule="auto"/>
        <w:ind w:firstLine="48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2"/>
          <w:szCs w:val="22"/>
          <w:highlight w:val="none"/>
        </w:rPr>
        <w:t>.根据《中华人民共和国民法典》等法律法规及司法解释，为保障</w:t>
      </w:r>
      <w:r>
        <w:rPr>
          <w:rFonts w:hint="eastAsia" w:ascii="宋体" w:hAnsi="宋体" w:eastAsia="宋体" w:cs="宋体"/>
          <w:color w:val="auto"/>
          <w:kern w:val="0"/>
          <w:sz w:val="22"/>
          <w:szCs w:val="22"/>
          <w:highlight w:val="none"/>
          <w:u w:val="single"/>
        </w:rPr>
        <w:t>温州市铁路与轨道交通投资集团有限公司202</w:t>
      </w:r>
      <w:r>
        <w:rPr>
          <w:rFonts w:hint="eastAsia" w:ascii="宋体" w:hAnsi="宋体" w:eastAsia="宋体" w:cs="宋体"/>
          <w:color w:val="auto"/>
          <w:kern w:val="0"/>
          <w:sz w:val="22"/>
          <w:szCs w:val="22"/>
          <w:highlight w:val="none"/>
          <w:u w:val="single"/>
          <w:lang w:val="en-US" w:eastAsia="zh-CN"/>
        </w:rPr>
        <w:t>X</w:t>
      </w:r>
      <w:r>
        <w:rPr>
          <w:rFonts w:hint="eastAsia" w:ascii="宋体" w:hAnsi="宋体" w:eastAsia="宋体" w:cs="宋体"/>
          <w:color w:val="auto"/>
          <w:kern w:val="0"/>
          <w:sz w:val="22"/>
          <w:szCs w:val="22"/>
          <w:highlight w:val="none"/>
          <w:u w:val="single"/>
        </w:rPr>
        <w:t>年度第</w:t>
      </w:r>
      <w:r>
        <w:rPr>
          <w:rFonts w:hint="eastAsia" w:ascii="宋体" w:hAnsi="宋体" w:eastAsia="宋体" w:cs="宋体"/>
          <w:color w:val="auto"/>
          <w:kern w:val="0"/>
          <w:sz w:val="22"/>
          <w:szCs w:val="22"/>
          <w:highlight w:val="none"/>
          <w:u w:val="single"/>
          <w:lang w:val="en-US" w:eastAsia="zh-CN"/>
        </w:rPr>
        <w:t>N</w:t>
      </w:r>
      <w:r>
        <w:rPr>
          <w:rFonts w:hint="eastAsia" w:ascii="宋体" w:hAnsi="宋体" w:eastAsia="宋体" w:cs="宋体"/>
          <w:color w:val="auto"/>
          <w:kern w:val="0"/>
          <w:sz w:val="22"/>
          <w:szCs w:val="22"/>
          <w:highlight w:val="none"/>
          <w:u w:val="single"/>
        </w:rPr>
        <w:t>期超短期融资券</w:t>
      </w:r>
      <w:r>
        <w:rPr>
          <w:rFonts w:hint="eastAsia" w:ascii="宋体" w:hAnsi="宋体" w:eastAsia="宋体" w:cs="宋体"/>
          <w:color w:val="auto"/>
          <w:kern w:val="0"/>
          <w:sz w:val="22"/>
          <w:szCs w:val="22"/>
          <w:highlight w:val="none"/>
        </w:rPr>
        <w:t>项下资金依法合规使用及资金安全，甲方依法依规在乙方开立监管账户并授权委托乙方对监管账户资金的使用情况进行监督，甲方同意接受乙方监督并依据法律法规、监管政策及合同约定等履行监管账户资金使用情况披露义务。</w:t>
      </w:r>
    </w:p>
    <w:p>
      <w:pPr>
        <w:widowControl/>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2.乙方同意接受甲方委托，根据国家法律法规、</w:t>
      </w:r>
      <w:r>
        <w:rPr>
          <w:rFonts w:hint="eastAsia" w:ascii="宋体" w:hAnsi="宋体" w:eastAsia="宋体" w:cs="宋体"/>
          <w:color w:val="auto"/>
          <w:kern w:val="0"/>
          <w:sz w:val="22"/>
          <w:szCs w:val="22"/>
          <w:highlight w:val="none"/>
          <w:u w:val="single"/>
        </w:rPr>
        <w:t>募集说明书</w:t>
      </w:r>
      <w:r>
        <w:rPr>
          <w:rFonts w:hint="eastAsia" w:ascii="宋体" w:hAnsi="宋体" w:eastAsia="宋体" w:cs="宋体"/>
          <w:color w:val="auto"/>
          <w:kern w:val="0"/>
          <w:sz w:val="22"/>
          <w:szCs w:val="22"/>
          <w:highlight w:val="none"/>
        </w:rPr>
        <w:t>及本协议约定履行账户资金使用形式审核及监管职责。</w:t>
      </w:r>
    </w:p>
    <w:p>
      <w:pPr>
        <w:widowControl/>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将双方友好协商一致，针对账户资金监管事项达成如下约定：</w:t>
      </w:r>
    </w:p>
    <w:p>
      <w:pPr>
        <w:widowControl/>
        <w:spacing w:line="360" w:lineRule="auto"/>
        <w:ind w:firstLine="440" w:firstLineChars="200"/>
        <w:jc w:val="left"/>
        <w:rPr>
          <w:rFonts w:hint="eastAsia" w:ascii="宋体" w:hAnsi="宋体" w:eastAsia="宋体" w:cs="宋体"/>
          <w:color w:val="auto"/>
          <w:kern w:val="0"/>
          <w:sz w:val="22"/>
          <w:szCs w:val="22"/>
          <w:highlight w:val="none"/>
        </w:rPr>
      </w:pPr>
    </w:p>
    <w:p>
      <w:pPr>
        <w:widowControl/>
        <w:snapToGrid w:val="0"/>
        <w:spacing w:line="360" w:lineRule="auto"/>
        <w:jc w:val="left"/>
        <w:rPr>
          <w:rFonts w:hint="eastAsia" w:ascii="宋体" w:hAnsi="宋体" w:eastAsia="宋体" w:cs="宋体"/>
          <w:b/>
          <w:bCs/>
          <w:color w:val="auto"/>
          <w:sz w:val="22"/>
          <w:szCs w:val="22"/>
          <w:highlight w:val="none"/>
        </w:rPr>
      </w:pPr>
      <w:r>
        <w:rPr>
          <w:rFonts w:hint="eastAsia" w:ascii="宋体" w:hAnsi="宋体" w:eastAsia="宋体" w:cs="宋体"/>
          <w:color w:val="auto"/>
          <w:kern w:val="0"/>
          <w:sz w:val="22"/>
          <w:szCs w:val="22"/>
          <w:highlight w:val="none"/>
        </w:rPr>
        <w:t xml:space="preserve">    </w:t>
      </w:r>
      <w:bookmarkStart w:id="198" w:name="_Toc121747367"/>
      <w:bookmarkStart w:id="199" w:name="_Toc133931964"/>
      <w:bookmarkStart w:id="200" w:name="_Toc142462092"/>
      <w:r>
        <w:rPr>
          <w:rFonts w:hint="eastAsia" w:ascii="宋体" w:hAnsi="宋体" w:eastAsia="宋体" w:cs="宋体"/>
          <w:b/>
          <w:bCs/>
          <w:color w:val="auto"/>
          <w:sz w:val="22"/>
          <w:szCs w:val="22"/>
          <w:highlight w:val="none"/>
        </w:rPr>
        <w:t>一、</w:t>
      </w:r>
      <w:bookmarkEnd w:id="198"/>
      <w:r>
        <w:rPr>
          <w:rFonts w:hint="eastAsia" w:ascii="宋体" w:hAnsi="宋体" w:eastAsia="宋体" w:cs="宋体"/>
          <w:b/>
          <w:bCs/>
          <w:color w:val="auto"/>
          <w:sz w:val="22"/>
          <w:szCs w:val="22"/>
          <w:highlight w:val="none"/>
        </w:rPr>
        <w:t>监管账户</w:t>
      </w:r>
    </w:p>
    <w:bookmarkEnd w:id="199"/>
    <w:bookmarkEnd w:id="200"/>
    <w:p>
      <w:pPr>
        <w:widowControl/>
        <w:adjustRightInd w:val="0"/>
        <w:snapToGri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（一）资金监管账户（以下简称“监管账户”）</w:t>
      </w:r>
    </w:p>
    <w:p>
      <w:pPr>
        <w:widowControl/>
        <w:adjustRightInd w:val="0"/>
        <w:snapToGri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甲方应在乙方处开立“</w:t>
      </w:r>
      <w:r>
        <w:rPr>
          <w:rFonts w:hint="eastAsia" w:ascii="宋体" w:hAnsi="宋体" w:eastAsia="宋体" w:cs="宋体"/>
          <w:color w:val="auto"/>
          <w:sz w:val="22"/>
          <w:szCs w:val="22"/>
          <w:highlight w:val="none"/>
          <w:u w:val="single"/>
        </w:rPr>
        <w:t>温州市铁路与轨道交通投资集团有限公司202</w:t>
      </w:r>
      <w:r>
        <w:rPr>
          <w:rFonts w:hint="eastAsia" w:ascii="宋体" w:hAnsi="宋体" w:eastAsia="宋体" w:cs="宋体"/>
          <w:color w:val="auto"/>
          <w:sz w:val="22"/>
          <w:szCs w:val="22"/>
          <w:highlight w:val="none"/>
          <w:u w:val="single"/>
          <w:lang w:val="en-US" w:eastAsia="zh-CN"/>
        </w:rPr>
        <w:t>X</w:t>
      </w:r>
      <w:r>
        <w:rPr>
          <w:rFonts w:hint="eastAsia" w:ascii="宋体" w:hAnsi="宋体" w:eastAsia="宋体" w:cs="宋体"/>
          <w:color w:val="auto"/>
          <w:sz w:val="22"/>
          <w:szCs w:val="22"/>
          <w:highlight w:val="none"/>
          <w:u w:val="single"/>
        </w:rPr>
        <w:t>年度第</w:t>
      </w:r>
      <w:r>
        <w:rPr>
          <w:rFonts w:hint="eastAsia" w:ascii="宋体" w:hAnsi="宋体" w:eastAsia="宋体" w:cs="宋体"/>
          <w:color w:val="auto"/>
          <w:sz w:val="22"/>
          <w:szCs w:val="22"/>
          <w:highlight w:val="none"/>
          <w:u w:val="single"/>
          <w:lang w:val="en-US" w:eastAsia="zh-CN"/>
        </w:rPr>
        <w:t>N</w:t>
      </w:r>
      <w:r>
        <w:rPr>
          <w:rFonts w:hint="eastAsia" w:ascii="宋体" w:hAnsi="宋体" w:eastAsia="宋体" w:cs="宋体"/>
          <w:color w:val="auto"/>
          <w:sz w:val="22"/>
          <w:szCs w:val="22"/>
          <w:highlight w:val="none"/>
          <w:u w:val="single"/>
        </w:rPr>
        <w:t>期超短期融资券募集</w:t>
      </w:r>
      <w:r>
        <w:rPr>
          <w:rFonts w:hint="eastAsia" w:ascii="宋体" w:hAnsi="宋体" w:eastAsia="宋体" w:cs="宋体"/>
          <w:color w:val="auto"/>
          <w:sz w:val="22"/>
          <w:szCs w:val="22"/>
          <w:highlight w:val="none"/>
        </w:rPr>
        <w:t>资金监管账户”，专项用于监管资金的接收、存放、支付，本次委托监管资金总额为人民币</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亿元；</w:t>
      </w:r>
    </w:p>
    <w:p>
      <w:pPr>
        <w:widowControl/>
        <w:adjustRightInd w:val="0"/>
        <w:snapToGri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u w:val="single"/>
        </w:rPr>
        <w:t xml:space="preserve">       </w:t>
      </w:r>
    </w:p>
    <w:p>
      <w:pPr>
        <w:widowControl/>
        <w:adjustRightInd w:val="0"/>
        <w:snapToGri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开户行：</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u w:val="single"/>
        </w:rPr>
        <w:t xml:space="preserve">            </w:t>
      </w:r>
    </w:p>
    <w:p>
      <w:pPr>
        <w:widowControl/>
        <w:adjustRightInd w:val="0"/>
        <w:snapToGri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账  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u w:val="single"/>
        </w:rPr>
        <w:t xml:space="preserve">               </w:t>
      </w:r>
    </w:p>
    <w:p>
      <w:pPr>
        <w:widowControl/>
        <w:adjustRightInd w:val="0"/>
        <w:snapToGri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（二）</w:t>
      </w:r>
      <w:r>
        <w:rPr>
          <w:rFonts w:hint="eastAsia" w:ascii="宋体" w:hAnsi="宋体" w:eastAsia="宋体" w:cs="宋体"/>
          <w:color w:val="auto"/>
          <w:sz w:val="22"/>
          <w:szCs w:val="22"/>
          <w:highlight w:val="none"/>
        </w:rPr>
        <w:t>监管账户不可支取现金、不得购买可流通凭证（包括支票、商业承兑汇票、本汇票申请书等）、不得开通电话银行等电子支付业务；不得购买多余支付凭证，需根据实际支付需求按次向乙方申请购买相应支付凭证。若监管账户已开通网上银行，需关闭对外支付限额，对外支付需经乙方形式审核后方能对外划付。若监管账户已开通通存通兑业务，需暂时关闭通存通兑业务。</w:t>
      </w:r>
    </w:p>
    <w:p>
      <w:pPr>
        <w:widowControl/>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（三）本期债务融资工具募集资金单独存放，不与其他债务融资工具募集资金及其他资金混同存放。在本期债务融资工具募集资金使用完毕前，监管专户或监管账户不用于接收、存放、划转其他资金。</w:t>
      </w:r>
    </w:p>
    <w:p>
      <w:pPr>
        <w:widowControl/>
        <w:adjustRightInd w:val="0"/>
        <w:snapToGri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（四）本协议履行期间，甲方承诺不向乙方要求办理变更、销户等业务，未经乙方事先同意，甲方不得另行开立或者变更监管账户。</w:t>
      </w:r>
    </w:p>
    <w:p>
      <w:pPr>
        <w:widowControl/>
        <w:adjustRightInd w:val="0"/>
        <w:snapToGri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（五）甲方同意按照如下第</w:t>
      </w:r>
      <w:r>
        <w:rPr>
          <w:rFonts w:hint="eastAsia" w:ascii="宋体" w:hAnsi="宋体" w:eastAsia="宋体" w:cs="宋体"/>
          <w:color w:val="auto"/>
          <w:sz w:val="22"/>
          <w:szCs w:val="22"/>
          <w:highlight w:val="none"/>
          <w:u w:val="single"/>
        </w:rPr>
        <w:t xml:space="preserve">  3  </w:t>
      </w:r>
      <w:r>
        <w:rPr>
          <w:rFonts w:hint="eastAsia" w:ascii="宋体" w:hAnsi="宋体" w:eastAsia="宋体" w:cs="宋体"/>
          <w:color w:val="auto"/>
          <w:sz w:val="22"/>
          <w:szCs w:val="22"/>
          <w:highlight w:val="none"/>
        </w:rPr>
        <w:t>项标准向乙方支付监管服务费用：</w:t>
      </w:r>
    </w:p>
    <w:p>
      <w:pPr>
        <w:widowControl/>
        <w:tabs>
          <w:tab w:val="left" w:pos="720"/>
          <w:tab w:val="left" w:pos="1020"/>
          <w:tab w:val="left" w:pos="1890"/>
        </w:tabs>
        <w:overflowPunct w:val="0"/>
        <w:autoSpaceDE w:val="0"/>
        <w:autoSpaceDN w:val="0"/>
        <w:adjustRightInd w:val="0"/>
        <w:snapToGrid w:val="0"/>
        <w:spacing w:line="360" w:lineRule="auto"/>
        <w:ind w:firstLine="221" w:firstLineChars="10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   </w:t>
      </w:r>
      <w:r>
        <w:rPr>
          <w:rFonts w:hint="eastAsia" w:ascii="宋体" w:hAnsi="宋体" w:eastAsia="宋体" w:cs="宋体"/>
          <w:color w:val="auto"/>
          <w:sz w:val="22"/>
          <w:szCs w:val="22"/>
          <w:highlight w:val="none"/>
        </w:rPr>
        <w:t xml:space="preserve"> 1．一次性收取人民币</w:t>
      </w:r>
      <w:r>
        <w:rPr>
          <w:rFonts w:hint="eastAsia" w:ascii="宋体" w:hAnsi="宋体" w:eastAsia="宋体" w:cs="宋体"/>
          <w:color w:val="auto"/>
          <w:sz w:val="22"/>
          <w:szCs w:val="22"/>
          <w:highlight w:val="none"/>
          <w:u w:val="single"/>
        </w:rPr>
        <w:t xml:space="preserve">     \   </w:t>
      </w:r>
      <w:r>
        <w:rPr>
          <w:rFonts w:hint="eastAsia" w:ascii="宋体" w:hAnsi="宋体" w:eastAsia="宋体" w:cs="宋体"/>
          <w:color w:val="auto"/>
          <w:sz w:val="22"/>
          <w:szCs w:val="22"/>
          <w:highlight w:val="none"/>
        </w:rPr>
        <w:t>（大写）元的监管服务费用，由甲方开户时一次性支付。</w:t>
      </w:r>
    </w:p>
    <w:p>
      <w:pPr>
        <w:widowControl/>
        <w:tabs>
          <w:tab w:val="left" w:pos="720"/>
          <w:tab w:val="left" w:pos="1020"/>
          <w:tab w:val="left" w:pos="1890"/>
        </w:tabs>
        <w:overflowPunct w:val="0"/>
        <w:autoSpaceDE w:val="0"/>
        <w:autoSpaceDN w:val="0"/>
        <w:adjustRightInd w:val="0"/>
        <w:snapToGrid w:val="0"/>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2.按照监管资金总额的</w:t>
      </w:r>
      <w:r>
        <w:rPr>
          <w:rFonts w:hint="eastAsia" w:ascii="宋体" w:hAnsi="宋体" w:eastAsia="宋体" w:cs="宋体"/>
          <w:color w:val="auto"/>
          <w:sz w:val="22"/>
          <w:szCs w:val="22"/>
          <w:highlight w:val="none"/>
          <w:u w:val="single"/>
        </w:rPr>
        <w:t xml:space="preserve">   \   </w:t>
      </w:r>
      <w:r>
        <w:rPr>
          <w:rFonts w:hint="eastAsia" w:ascii="宋体" w:hAnsi="宋体" w:eastAsia="宋体" w:cs="宋体"/>
          <w:color w:val="auto"/>
          <w:sz w:val="22"/>
          <w:szCs w:val="22"/>
          <w:highlight w:val="none"/>
        </w:rPr>
        <w:t>%按</w:t>
      </w:r>
      <w:r>
        <w:rPr>
          <w:rFonts w:hint="eastAsia" w:ascii="宋体" w:hAnsi="宋体" w:eastAsia="宋体" w:cs="宋体"/>
          <w:color w:val="auto"/>
          <w:sz w:val="22"/>
          <w:szCs w:val="22"/>
          <w:highlight w:val="none"/>
          <w:u w:val="single"/>
        </w:rPr>
        <w:t xml:space="preserve">  \  </w:t>
      </w:r>
      <w:r>
        <w:rPr>
          <w:rFonts w:hint="eastAsia" w:ascii="宋体" w:hAnsi="宋体" w:eastAsia="宋体" w:cs="宋体"/>
          <w:color w:val="auto"/>
          <w:sz w:val="22"/>
          <w:szCs w:val="22"/>
          <w:highlight w:val="none"/>
        </w:rPr>
        <w:t>（年/季/月/一次性）收取监管服务费用，若监管资金为外币的，则按照本协议签署生效日乙方对外挂牌的汇率折算为人民币计收监管服务费。</w:t>
      </w:r>
    </w:p>
    <w:p>
      <w:pPr>
        <w:widowControl/>
        <w:tabs>
          <w:tab w:val="left" w:pos="720"/>
          <w:tab w:val="left" w:pos="1020"/>
          <w:tab w:val="left" w:pos="1890"/>
        </w:tabs>
        <w:overflowPunct w:val="0"/>
        <w:autoSpaceDE w:val="0"/>
        <w:autoSpaceDN w:val="0"/>
        <w:adjustRightInd w:val="0"/>
        <w:snapToGrid w:val="0"/>
        <w:spacing w:line="360" w:lineRule="auto"/>
        <w:ind w:firstLine="660" w:firstLine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3.本次监管不收取监管服务费用。</w:t>
      </w:r>
    </w:p>
    <w:p>
      <w:pPr>
        <w:widowControl/>
        <w:tabs>
          <w:tab w:val="left" w:pos="720"/>
          <w:tab w:val="left" w:pos="1020"/>
          <w:tab w:val="left" w:pos="1890"/>
        </w:tabs>
        <w:overflowPunct w:val="0"/>
        <w:autoSpaceDE w:val="0"/>
        <w:autoSpaceDN w:val="0"/>
        <w:adjustRightInd w:val="0"/>
        <w:snapToGrid w:val="0"/>
        <w:spacing w:line="360" w:lineRule="auto"/>
        <w:ind w:firstLine="221" w:firstLineChars="100"/>
        <w:rPr>
          <w:rFonts w:hint="eastAsia" w:ascii="宋体" w:hAnsi="宋体" w:eastAsia="宋体" w:cs="宋体"/>
          <w:b/>
          <w:color w:val="auto"/>
          <w:sz w:val="22"/>
          <w:szCs w:val="22"/>
          <w:highlight w:val="none"/>
        </w:rPr>
      </w:pPr>
    </w:p>
    <w:p>
      <w:pPr>
        <w:widowControl/>
        <w:tabs>
          <w:tab w:val="left" w:pos="720"/>
          <w:tab w:val="left" w:pos="1020"/>
          <w:tab w:val="left" w:pos="1890"/>
        </w:tabs>
        <w:overflowPunct w:val="0"/>
        <w:autoSpaceDE w:val="0"/>
        <w:autoSpaceDN w:val="0"/>
        <w:adjustRightInd w:val="0"/>
        <w:snapToGrid w:val="0"/>
        <w:spacing w:line="360" w:lineRule="auto"/>
        <w:ind w:firstLine="221" w:firstLineChars="1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二、资金使用和监管</w:t>
      </w:r>
    </w:p>
    <w:p>
      <w:pPr>
        <w:widowControl/>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甲方拟划付监管账户内资金的，应向乙方提交书面资金使用指令、证明该笔款项运用符合约定用途的相关证明材料。乙方根据法律法规、监管资金使用合同或募集说明书和甲方提交的资金划付指令及相关证明材料对甲方提交的资金使用指令进行形式审核，符合约定用途的，由乙方按照甲方资金使用指令进行款项划转；不符合约定用途的，乙方有权拒绝划付监管账户资金，由此造成的损失由甲方自行承担。</w:t>
      </w:r>
    </w:p>
    <w:p>
      <w:pPr>
        <w:widowControl/>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（二）为确保</w:t>
      </w:r>
      <w:r>
        <w:rPr>
          <w:rFonts w:hint="eastAsia" w:ascii="宋体" w:hAnsi="宋体" w:eastAsia="宋体" w:cs="宋体"/>
          <w:color w:val="auto"/>
          <w:kern w:val="0"/>
          <w:sz w:val="22"/>
          <w:szCs w:val="22"/>
          <w:highlight w:val="none"/>
        </w:rPr>
        <w:t>监管账户</w:t>
      </w:r>
      <w:r>
        <w:rPr>
          <w:rFonts w:hint="eastAsia" w:ascii="宋体" w:hAnsi="宋体" w:eastAsia="宋体" w:cs="宋体"/>
          <w:color w:val="auto"/>
          <w:sz w:val="22"/>
          <w:szCs w:val="22"/>
          <w:highlight w:val="none"/>
        </w:rPr>
        <w:t>资金按照约定使用，乙方有权通过账户监管等方式对甲方划付至监管账户资金使用等情况进行监督，乙方在认为必要时有权要求甲方披露资金使用相关信息和对甲方有关账簿和记录进行查阅及检查。</w:t>
      </w:r>
    </w:p>
    <w:p>
      <w:pPr>
        <w:widowControl/>
        <w:tabs>
          <w:tab w:val="left" w:pos="720"/>
          <w:tab w:val="left" w:pos="1020"/>
          <w:tab w:val="left" w:pos="1890"/>
        </w:tabs>
        <w:overflowPunct w:val="0"/>
        <w:autoSpaceDE w:val="0"/>
        <w:autoSpaceDN w:val="0"/>
        <w:adjustRightInd w:val="0"/>
        <w:snapToGrid w:val="0"/>
        <w:spacing w:line="360" w:lineRule="auto"/>
        <w:rPr>
          <w:rFonts w:hint="eastAsia" w:ascii="宋体" w:hAnsi="宋体" w:eastAsia="宋体" w:cs="宋体"/>
          <w:b/>
          <w:color w:val="auto"/>
          <w:sz w:val="22"/>
          <w:szCs w:val="22"/>
          <w:highlight w:val="none"/>
        </w:rPr>
      </w:pPr>
    </w:p>
    <w:p>
      <w:pPr>
        <w:widowControl/>
        <w:tabs>
          <w:tab w:val="left" w:pos="720"/>
          <w:tab w:val="left" w:pos="1020"/>
          <w:tab w:val="left" w:pos="1890"/>
        </w:tabs>
        <w:overflowPunct w:val="0"/>
        <w:autoSpaceDE w:val="0"/>
        <w:autoSpaceDN w:val="0"/>
        <w:adjustRightInd w:val="0"/>
        <w:snapToGrid w:val="0"/>
        <w:spacing w:line="360" w:lineRule="auto"/>
        <w:rPr>
          <w:rFonts w:hint="eastAsia" w:ascii="宋体" w:hAnsi="宋体" w:eastAsia="宋体" w:cs="宋体"/>
          <w:color w:val="auto"/>
          <w:kern w:val="0"/>
          <w:sz w:val="22"/>
          <w:szCs w:val="22"/>
          <w:highlight w:val="none"/>
        </w:rPr>
      </w:pPr>
      <w:bookmarkStart w:id="201" w:name="_Toc522624094"/>
      <w:bookmarkStart w:id="202" w:name="_Toc503781764"/>
      <w:bookmarkStart w:id="203" w:name="_Toc536615296"/>
      <w:bookmarkStart w:id="204" w:name="_Toc536615439"/>
      <w:bookmarkStart w:id="205" w:name="_Toc522421300"/>
      <w:bookmarkStart w:id="206" w:name="_Toc522330862"/>
      <w:bookmarkStart w:id="207" w:name="_Toc1816332"/>
      <w:bookmarkStart w:id="208" w:name="_Toc522421443"/>
      <w:bookmarkStart w:id="209" w:name="_Toc522623569"/>
      <w:bookmarkStart w:id="210" w:name="_Toc530987888"/>
      <w:bookmarkStart w:id="211" w:name="_Toc527195230"/>
      <w:bookmarkStart w:id="212" w:name="_Toc522421542"/>
      <w:bookmarkStart w:id="213" w:name="_Toc38816540"/>
      <w:bookmarkStart w:id="214" w:name="_Toc3466688"/>
      <w:bookmarkStart w:id="215" w:name="_Toc503865383"/>
      <w:bookmarkStart w:id="216" w:name="_Toc503674355"/>
      <w:bookmarkStart w:id="217" w:name="_Toc504280501"/>
      <w:bookmarkStart w:id="218" w:name="_Toc506124532"/>
      <w:bookmarkStart w:id="219" w:name="_Toc133931972"/>
      <w:bookmarkStart w:id="220" w:name="_Toc506531615"/>
      <w:bookmarkStart w:id="221" w:name="_Toc530987832"/>
      <w:bookmarkStart w:id="222" w:name="_Toc503865416"/>
      <w:bookmarkStart w:id="223" w:name="_Toc506120744"/>
      <w:bookmarkStart w:id="224" w:name="_Toc527277587"/>
      <w:bookmarkStart w:id="225" w:name="_Toc121747399"/>
      <w:bookmarkStart w:id="226" w:name="_Toc506127617"/>
      <w:bookmarkStart w:id="227" w:name="_Toc527523224"/>
      <w:bookmarkStart w:id="228" w:name="_Toc503865502"/>
      <w:bookmarkStart w:id="229" w:name="_Toc504366771"/>
      <w:bookmarkStart w:id="230" w:name="_Toc19873918"/>
      <w:bookmarkStart w:id="231" w:name="_Toc503345560"/>
      <w:bookmarkStart w:id="232" w:name="_Toc530988033"/>
      <w:bookmarkStart w:id="233" w:name="_Toc522421072"/>
      <w:bookmarkStart w:id="234" w:name="_Toc16910913"/>
      <w:bookmarkStart w:id="235" w:name="_Toc522599175"/>
      <w:r>
        <w:rPr>
          <w:rFonts w:hint="eastAsia" w:ascii="宋体" w:hAnsi="宋体" w:eastAsia="宋体" w:cs="宋体"/>
          <w:b/>
          <w:color w:val="auto"/>
          <w:sz w:val="22"/>
          <w:szCs w:val="22"/>
          <w:highlight w:val="none"/>
        </w:rPr>
        <w:t xml:space="preserve">  三、双方权利和义务</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（一）甲方的权利和义务</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甲方有权定期对乙方保管的监管账户内资金进行对账核查。发现乙方未对监管账户内资金实行分账管理、擅自挪用监管账户内资金、因乙方的故意或重大过失导致账户内资金灭失、减损、或处于危险状态的，甲方应立即以书面方式要求乙方予以纠正和采取必要的补救措施。</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2．甲方应按照监管资金约定用途，向乙方提出资金的划拨指令，按照乙方要求提供划拨资金证明材料，并对划拨指令及证明材料的真实、合法、完整、及时、有效负责。</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根据法律法规、监管政策或资金募集说明书等材料约定，需要变更或者调整监管资金用途的，甲方承诺将依法合规办妥监管资金用途变更手续，并将相关证明材料提交乙方留存；否则，乙方有权拒绝执行甲方与监管资金用途不符合的任何指令，由此造成的全部后果均由甲方承担。</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（二）乙方的权利和义务</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1.乙方应当按照本协议的约定履行本协议中的职责和义务，对资金账户中的款项进行监管，以维护甲方监管账户资金安全。</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在本协议存续期内，若因任何原因出现资金账户被查封、销户、冻结及其他情形而不能履约划转资金款项的，除依据法律法规及有权机关等要求乙方履行保密义务的以外，乙方应将不能划转的情况如实告知甲方。</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3.乙方应配合甲方或甲方书面委托的第三方定期对资金账户的对账和核查，并按书面要求配合提供查询监管资金账户内资金流水情况。</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乙方有权要求甲方配合提供划款指令所需的证明材料，乙方对甲方提供的划款指令、划款证明材料等履行书面材料的形式审查，不对甲方提供材料的真实性、准确性、完整性、合法性、有效性等承担任何责任，乙方对甲方提供材料履行书面形式审查职责后，即视为乙方已经按约定履行了对甲方监管账户资金的监管职责，因甲方提供材料问题或者资金汇划产生的后果均由甲方承担。</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Pr>
        <w:widowControl/>
        <w:tabs>
          <w:tab w:val="left" w:pos="720"/>
          <w:tab w:val="left" w:pos="1020"/>
          <w:tab w:val="left" w:pos="1890"/>
        </w:tabs>
        <w:overflowPunct w:val="0"/>
        <w:autoSpaceDE w:val="0"/>
        <w:autoSpaceDN w:val="0"/>
        <w:adjustRightInd w:val="0"/>
        <w:snapToGrid w:val="0"/>
        <w:spacing w:line="360" w:lineRule="auto"/>
        <w:rPr>
          <w:rFonts w:hint="eastAsia" w:ascii="宋体" w:hAnsi="宋体" w:eastAsia="宋体" w:cs="宋体"/>
          <w:b/>
          <w:color w:val="auto"/>
          <w:sz w:val="22"/>
          <w:szCs w:val="22"/>
          <w:highlight w:val="none"/>
        </w:rPr>
      </w:pPr>
      <w:bookmarkStart w:id="236" w:name="_Toc522421304"/>
      <w:bookmarkStart w:id="237" w:name="_Toc536615440"/>
      <w:bookmarkStart w:id="238" w:name="_Toc522599176"/>
      <w:bookmarkStart w:id="239" w:name="_Toc530987892"/>
      <w:bookmarkStart w:id="240" w:name="_Toc142462102"/>
      <w:bookmarkStart w:id="241" w:name="_Toc522421546"/>
      <w:bookmarkStart w:id="242" w:name="_Toc527523228"/>
      <w:bookmarkStart w:id="243" w:name="_Toc3466689"/>
      <w:bookmarkStart w:id="244" w:name="_Toc506127618"/>
      <w:bookmarkStart w:id="245" w:name="_Toc522330863"/>
      <w:bookmarkStart w:id="246" w:name="_Toc506124533"/>
      <w:bookmarkStart w:id="247" w:name="_Toc503781765"/>
      <w:bookmarkStart w:id="248" w:name="_Toc1816333"/>
      <w:bookmarkStart w:id="249" w:name="_Toc527277591"/>
      <w:bookmarkStart w:id="250" w:name="_Toc23263216"/>
      <w:bookmarkStart w:id="251" w:name="_Toc504280502"/>
      <w:bookmarkStart w:id="252" w:name="_Toc536615300"/>
      <w:bookmarkStart w:id="253" w:name="_Toc504366772"/>
      <w:bookmarkStart w:id="254" w:name="_Toc503865417"/>
      <w:bookmarkStart w:id="255" w:name="_Toc530987833"/>
      <w:bookmarkStart w:id="256" w:name="_Toc522623573"/>
      <w:bookmarkStart w:id="257" w:name="_Toc503345561"/>
      <w:bookmarkStart w:id="258" w:name="_Toc506531616"/>
      <w:bookmarkStart w:id="259" w:name="_Toc121747401"/>
      <w:bookmarkStart w:id="260" w:name="_Toc506120745"/>
      <w:bookmarkStart w:id="261" w:name="_Toc522624098"/>
      <w:bookmarkStart w:id="262" w:name="_Toc503674356"/>
      <w:bookmarkStart w:id="263" w:name="_Toc527195231"/>
      <w:bookmarkStart w:id="264" w:name="_Toc16910914"/>
      <w:bookmarkStart w:id="265" w:name="_Toc503865384"/>
      <w:bookmarkStart w:id="266" w:name="_Toc503865503"/>
      <w:bookmarkStart w:id="267" w:name="_Toc530988034"/>
      <w:bookmarkStart w:id="268" w:name="_Toc522421444"/>
      <w:bookmarkStart w:id="269" w:name="_Toc522421076"/>
      <w:bookmarkStart w:id="270" w:name="_Toc19873919"/>
      <w:bookmarkStart w:id="271" w:name="_Toc121731194"/>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Pr>
        <w:tabs>
          <w:tab w:val="left" w:pos="1440"/>
          <w:tab w:val="left" w:pos="2977"/>
          <w:tab w:val="left" w:pos="3544"/>
          <w:tab w:val="left" w:pos="4111"/>
        </w:tabs>
        <w:snapToGrid w:val="0"/>
        <w:spacing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四、特别约定</w:t>
      </w:r>
    </w:p>
    <w:p>
      <w:pPr>
        <w:tabs>
          <w:tab w:val="left" w:pos="1440"/>
          <w:tab w:val="left" w:pos="2977"/>
          <w:tab w:val="left" w:pos="3544"/>
          <w:tab w:val="left" w:pos="4111"/>
        </w:tabs>
        <w:snapToGrid w:val="0"/>
        <w:spacing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一）甲乙双方一致确认并同意，如监管账户被有权机关采取查封、冻结或扣划措施或出现其他不能对外付款情形的，乙方有权依据国家法律法规及有权机关要求，协助有权机构对监管账户内资产采取查封或扣划等行为。如因国家政策、相关法律法规或者有权机关查冻等限制，导致乙方无法按照本协议约定完成资金划转的，乙方不承担任何法律责任。</w:t>
      </w:r>
    </w:p>
    <w:p>
      <w:pPr>
        <w:tabs>
          <w:tab w:val="left" w:pos="1440"/>
          <w:tab w:val="left" w:pos="2977"/>
          <w:tab w:val="left" w:pos="3544"/>
          <w:tab w:val="left" w:pos="4111"/>
        </w:tabs>
        <w:snapToGrid w:val="0"/>
        <w:spacing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二）甲乙双方确认，乙方仅根据甲方提供的划款指令、签署的合同或者募集说明书等资金使用证明材料对监管账户资金划付使用进行书面形式审核，对甲方提交的监管账户资金使用项下的证明材料的真实性、准确性、完整性、合法性等无实质审核职责。</w:t>
      </w:r>
    </w:p>
    <w:p>
      <w:pPr>
        <w:tabs>
          <w:tab w:val="left" w:pos="1440"/>
          <w:tab w:val="left" w:pos="2977"/>
          <w:tab w:val="left" w:pos="3544"/>
          <w:tab w:val="left" w:pos="4111"/>
        </w:tabs>
        <w:snapToGrid w:val="0"/>
        <w:spacing w:line="360" w:lineRule="auto"/>
        <w:ind w:firstLine="221" w:firstLineChars="100"/>
        <w:rPr>
          <w:rFonts w:hint="eastAsia" w:ascii="宋体" w:hAnsi="宋体" w:eastAsia="宋体" w:cs="宋体"/>
          <w:b/>
          <w:color w:val="auto"/>
          <w:sz w:val="22"/>
          <w:szCs w:val="22"/>
          <w:highlight w:val="none"/>
        </w:rPr>
      </w:pPr>
    </w:p>
    <w:p>
      <w:pPr>
        <w:tabs>
          <w:tab w:val="left" w:pos="1440"/>
          <w:tab w:val="left" w:pos="2977"/>
          <w:tab w:val="left" w:pos="3544"/>
          <w:tab w:val="left" w:pos="4111"/>
        </w:tabs>
        <w:snapToGrid w:val="0"/>
        <w:spacing w:line="360" w:lineRule="auto"/>
        <w:ind w:firstLine="221" w:firstLineChars="1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五、违约责任</w:t>
      </w:r>
    </w:p>
    <w:p>
      <w:pPr>
        <w:tabs>
          <w:tab w:val="left" w:pos="1440"/>
          <w:tab w:val="left" w:pos="2977"/>
          <w:tab w:val="left" w:pos="3544"/>
          <w:tab w:val="left" w:pos="4111"/>
        </w:tabs>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（一）甲乙双方</w:t>
      </w:r>
      <w:r>
        <w:rPr>
          <w:rFonts w:hint="eastAsia" w:ascii="宋体" w:hAnsi="宋体" w:eastAsia="宋体" w:cs="宋体"/>
          <w:color w:val="auto"/>
          <w:sz w:val="22"/>
          <w:szCs w:val="22"/>
          <w:highlight w:val="none"/>
        </w:rPr>
        <w:t>一致同意，甲方违反本协议、明确监管资金用途等法律文件约定的，或者未按照乙方要求支付监管服务费用等情况的，乙方</w:t>
      </w:r>
      <w:r>
        <w:rPr>
          <w:rFonts w:hint="eastAsia" w:ascii="宋体" w:hAnsi="宋体" w:eastAsia="宋体" w:cs="宋体"/>
          <w:color w:val="auto"/>
          <w:kern w:val="0"/>
          <w:sz w:val="22"/>
          <w:szCs w:val="22"/>
          <w:highlight w:val="none"/>
        </w:rPr>
        <w:t>有权</w:t>
      </w:r>
      <w:r>
        <w:rPr>
          <w:rFonts w:hint="eastAsia" w:ascii="宋体" w:hAnsi="宋体" w:eastAsia="宋体" w:cs="宋体"/>
          <w:color w:val="auto"/>
          <w:sz w:val="22"/>
          <w:szCs w:val="22"/>
          <w:highlight w:val="none"/>
        </w:rPr>
        <w:t>停止监管账户内监管资金的拨付；若甲方经乙方告知后仍未改正违约行为或者支付监管服务费用的，乙方有权解除监管协议、终止履行监管职责或直接扣划监管账户内资金用于支付监管服务费用，由此产生的后果均由甲方自行承担。</w:t>
      </w:r>
    </w:p>
    <w:p>
      <w:pPr>
        <w:tabs>
          <w:tab w:val="left" w:pos="1440"/>
          <w:tab w:val="left" w:pos="2977"/>
          <w:tab w:val="left" w:pos="3544"/>
          <w:tab w:val="left" w:pos="4111"/>
        </w:tabs>
        <w:snapToGrid w:val="0"/>
        <w:spacing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（二）任一方违反本协议约定给对方造成损失的，违约方应当赔偿守约方的直接经济损失，违约方给守约方造成其他损失的，违约方赔偿不足以弥补守约方损失的，违约方还应当赔偿守约方的其他损失。</w:t>
      </w:r>
    </w:p>
    <w:p>
      <w:pPr>
        <w:tabs>
          <w:tab w:val="left" w:pos="1440"/>
          <w:tab w:val="left" w:pos="2977"/>
          <w:tab w:val="left" w:pos="3544"/>
          <w:tab w:val="left" w:pos="4111"/>
        </w:tabs>
        <w:snapToGrid w:val="0"/>
        <w:spacing w:line="360" w:lineRule="auto"/>
        <w:ind w:firstLine="480"/>
        <w:rPr>
          <w:rFonts w:hint="eastAsia" w:ascii="宋体" w:hAnsi="宋体" w:eastAsia="宋体" w:cs="宋体"/>
          <w:color w:val="auto"/>
          <w:sz w:val="22"/>
          <w:szCs w:val="22"/>
          <w:highlight w:val="none"/>
        </w:rPr>
      </w:pPr>
    </w:p>
    <w:p>
      <w:pPr>
        <w:tabs>
          <w:tab w:val="left" w:pos="1440"/>
          <w:tab w:val="left" w:pos="2977"/>
          <w:tab w:val="left" w:pos="3544"/>
          <w:tab w:val="left" w:pos="4111"/>
        </w:tabs>
        <w:snapToGrid w:val="0"/>
        <w:spacing w:line="360" w:lineRule="auto"/>
        <w:rPr>
          <w:rFonts w:hint="eastAsia" w:ascii="宋体" w:hAnsi="宋体" w:eastAsia="宋体" w:cs="宋体"/>
          <w:color w:val="auto"/>
          <w:sz w:val="22"/>
          <w:szCs w:val="22"/>
          <w:highlight w:val="none"/>
        </w:rPr>
      </w:pPr>
      <w:r>
        <w:rPr>
          <w:rFonts w:hint="eastAsia" w:ascii="宋体" w:hAnsi="宋体" w:eastAsia="宋体" w:cs="宋体"/>
          <w:b/>
          <w:color w:val="auto"/>
          <w:kern w:val="0"/>
          <w:sz w:val="22"/>
          <w:szCs w:val="22"/>
          <w:highlight w:val="none"/>
        </w:rPr>
        <w:t>六、</w:t>
      </w:r>
      <w:r>
        <w:rPr>
          <w:rFonts w:hint="eastAsia" w:ascii="宋体" w:hAnsi="宋体" w:eastAsia="宋体" w:cs="宋体"/>
          <w:b/>
          <w:color w:val="auto"/>
          <w:sz w:val="22"/>
          <w:szCs w:val="22"/>
          <w:highlight w:val="none"/>
        </w:rPr>
        <w:t>通知</w:t>
      </w:r>
    </w:p>
    <w:p>
      <w:pPr>
        <w:tabs>
          <w:tab w:val="left" w:pos="1440"/>
          <w:tab w:val="left" w:pos="2977"/>
          <w:tab w:val="left" w:pos="3544"/>
          <w:tab w:val="left" w:pos="4111"/>
        </w:tabs>
        <w:snapToGrid w:val="0"/>
        <w:spacing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（一）本协议项下的任何通知、付款要求或各种通讯联系均应以书面形式按本协议封面记载的地址以专人递送、特快专递、传真或本协议约定的其他方式送达。通知在下列日期视为送达日：</w:t>
      </w:r>
    </w:p>
    <w:p>
      <w:pPr>
        <w:tabs>
          <w:tab w:val="left" w:pos="1440"/>
          <w:tab w:val="left" w:pos="2977"/>
          <w:tab w:val="left" w:pos="3544"/>
          <w:tab w:val="left" w:pos="4111"/>
        </w:tabs>
        <w:snapToGrid w:val="0"/>
        <w:spacing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1、由专人递送的，递交日；</w:t>
      </w:r>
    </w:p>
    <w:p>
      <w:pPr>
        <w:tabs>
          <w:tab w:val="left" w:pos="1440"/>
          <w:tab w:val="left" w:pos="2977"/>
          <w:tab w:val="left" w:pos="3544"/>
          <w:tab w:val="left" w:pos="4111"/>
        </w:tabs>
        <w:snapToGrid w:val="0"/>
        <w:spacing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2、由特快专递递送的，收据所示日，无收据的，以特快专递寄出后的第三个工作日视为送达；</w:t>
      </w:r>
    </w:p>
    <w:p>
      <w:pPr>
        <w:tabs>
          <w:tab w:val="left" w:pos="1440"/>
          <w:tab w:val="left" w:pos="2977"/>
          <w:tab w:val="left" w:pos="3544"/>
          <w:tab w:val="left" w:pos="4111"/>
        </w:tabs>
        <w:snapToGrid w:val="0"/>
        <w:spacing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3、以传真发送的，以发件人传真机显示传真业已发出时视为送达。</w:t>
      </w:r>
    </w:p>
    <w:p>
      <w:pPr>
        <w:tabs>
          <w:tab w:val="left" w:pos="1440"/>
          <w:tab w:val="left" w:pos="2977"/>
          <w:tab w:val="left" w:pos="3544"/>
          <w:tab w:val="left" w:pos="4111"/>
        </w:tabs>
        <w:snapToGrid w:val="0"/>
        <w:spacing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（二）如本协议任何一方的上述联系方法发生变化，应于三个工作日内书面通知其他方。否则，一方按本协议所载资料向另一方发送所有通知或文书，视同送达。</w:t>
      </w:r>
    </w:p>
    <w:p>
      <w:pPr>
        <w:tabs>
          <w:tab w:val="left" w:pos="1440"/>
          <w:tab w:val="left" w:pos="2977"/>
          <w:tab w:val="left" w:pos="3544"/>
          <w:tab w:val="left" w:pos="4111"/>
        </w:tabs>
        <w:snapToGrid w:val="0"/>
        <w:spacing w:line="360" w:lineRule="auto"/>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乙方以在其网站、网上银行、电话银行或营业网点发布公告的方式发送通知的，以公告发布之日视为送达日。乙方在任何情况下均无需对邮递、传真、电话或任何其他通讯系统所出现的任何传送失误、缺漏或延迟承担任何责任。</w:t>
      </w:r>
    </w:p>
    <w:p>
      <w:pPr>
        <w:widowControl/>
        <w:snapToGrid w:val="0"/>
        <w:spacing w:line="360" w:lineRule="auto"/>
        <w:jc w:val="left"/>
        <w:rPr>
          <w:rFonts w:hint="eastAsia" w:ascii="宋体" w:hAnsi="宋体" w:eastAsia="宋体" w:cs="宋体"/>
          <w:b/>
          <w:color w:val="auto"/>
          <w:kern w:val="0"/>
          <w:sz w:val="22"/>
          <w:szCs w:val="22"/>
          <w:highlight w:val="none"/>
        </w:rPr>
      </w:pPr>
    </w:p>
    <w:p>
      <w:pPr>
        <w:widowControl/>
        <w:snapToGrid w:val="0"/>
        <w:spacing w:line="360" w:lineRule="auto"/>
        <w:ind w:firstLine="221" w:firstLineChars="100"/>
        <w:jc w:val="left"/>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七、法律适用和争议解决</w:t>
      </w:r>
    </w:p>
    <w:p>
      <w:pPr>
        <w:widowControl/>
        <w:adjustRightInd w:val="0"/>
        <w:snapToGrid w:val="0"/>
        <w:spacing w:line="360" w:lineRule="auto"/>
        <w:ind w:firstLine="48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（一）本协议的订立、效力、解释、履行及争议的解决均适用中华人民共和国法律（不含香港、台湾和澳门地区的法律）。</w:t>
      </w:r>
    </w:p>
    <w:p>
      <w:pPr>
        <w:widowControl/>
        <w:spacing w:line="360" w:lineRule="auto"/>
        <w:ind w:firstLine="448" w:firstLineChars="204"/>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（二）凡由本协议引起的或与本协议有关的争议和纠纷，各方应先协商解决；不能协商或协商不能达成一致的，按照以下第</w:t>
      </w:r>
      <w:r>
        <w:rPr>
          <w:rFonts w:hint="eastAsia" w:ascii="宋体" w:hAnsi="宋体" w:eastAsia="宋体" w:cs="宋体"/>
          <w:color w:val="auto"/>
          <w:kern w:val="0"/>
          <w:sz w:val="22"/>
          <w:szCs w:val="22"/>
          <w:highlight w:val="none"/>
          <w:u w:val="single"/>
        </w:rPr>
        <w:t xml:space="preserve">   壹   </w:t>
      </w:r>
      <w:r>
        <w:rPr>
          <w:rFonts w:hint="eastAsia" w:ascii="宋体" w:hAnsi="宋体" w:eastAsia="宋体" w:cs="宋体"/>
          <w:color w:val="auto"/>
          <w:kern w:val="0"/>
          <w:sz w:val="22"/>
          <w:szCs w:val="22"/>
          <w:highlight w:val="none"/>
        </w:rPr>
        <w:t>种方式解决：</w:t>
      </w:r>
    </w:p>
    <w:p>
      <w:pPr>
        <w:widowControl/>
        <w:spacing w:line="360" w:lineRule="auto"/>
        <w:ind w:firstLine="448" w:firstLineChars="204"/>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（壹）向乙方住所地人民法院提起诉讼。</w:t>
      </w:r>
    </w:p>
    <w:p>
      <w:pPr>
        <w:widowControl/>
        <w:spacing w:line="360" w:lineRule="auto"/>
        <w:ind w:firstLine="448" w:firstLineChars="204"/>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（贰）向</w:t>
      </w:r>
      <w:r>
        <w:rPr>
          <w:rFonts w:hint="eastAsia" w:ascii="宋体" w:hAnsi="宋体" w:eastAsia="宋体" w:cs="宋体"/>
          <w:color w:val="auto"/>
          <w:kern w:val="0"/>
          <w:sz w:val="22"/>
          <w:szCs w:val="22"/>
          <w:highlight w:val="none"/>
          <w:u w:val="single"/>
        </w:rPr>
        <w:t xml:space="preserve">    \    </w:t>
      </w:r>
      <w:r>
        <w:rPr>
          <w:rFonts w:hint="eastAsia" w:ascii="宋体" w:hAnsi="宋体" w:eastAsia="宋体" w:cs="宋体"/>
          <w:color w:val="auto"/>
          <w:kern w:val="0"/>
          <w:sz w:val="22"/>
          <w:szCs w:val="22"/>
          <w:highlight w:val="none"/>
        </w:rPr>
        <w:t>仲裁委员会（仲裁地点为：</w:t>
      </w:r>
      <w:r>
        <w:rPr>
          <w:rFonts w:hint="eastAsia" w:ascii="宋体" w:hAnsi="宋体" w:eastAsia="宋体" w:cs="宋体"/>
          <w:color w:val="auto"/>
          <w:kern w:val="0"/>
          <w:sz w:val="22"/>
          <w:szCs w:val="22"/>
          <w:highlight w:val="none"/>
          <w:u w:val="single"/>
        </w:rPr>
        <w:t xml:space="preserve">   \   </w:t>
      </w:r>
      <w:r>
        <w:rPr>
          <w:rFonts w:hint="eastAsia" w:ascii="宋体" w:hAnsi="宋体" w:eastAsia="宋体" w:cs="宋体"/>
          <w:color w:val="auto"/>
          <w:kern w:val="0"/>
          <w:sz w:val="22"/>
          <w:szCs w:val="22"/>
          <w:highlight w:val="none"/>
        </w:rPr>
        <w:t>）申请仲裁，按照申请仲裁时该委员会现行有效的仲裁规则进行仲裁。仲裁裁决为终局裁决，对各方均有约束力。</w:t>
      </w:r>
    </w:p>
    <w:p>
      <w:pPr>
        <w:widowControl/>
        <w:spacing w:line="360" w:lineRule="auto"/>
        <w:ind w:firstLine="448" w:firstLineChars="204"/>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（叁）其他方式：</w:t>
      </w:r>
      <w:r>
        <w:rPr>
          <w:rFonts w:hint="eastAsia" w:ascii="宋体" w:hAnsi="宋体" w:eastAsia="宋体" w:cs="宋体"/>
          <w:color w:val="auto"/>
          <w:kern w:val="0"/>
          <w:sz w:val="22"/>
          <w:szCs w:val="22"/>
          <w:highlight w:val="none"/>
          <w:u w:val="single"/>
        </w:rPr>
        <w:t xml:space="preserve">   \   </w:t>
      </w:r>
      <w:r>
        <w:rPr>
          <w:rFonts w:hint="eastAsia" w:ascii="宋体" w:hAnsi="宋体" w:eastAsia="宋体" w:cs="宋体"/>
          <w:color w:val="auto"/>
          <w:kern w:val="0"/>
          <w:sz w:val="22"/>
          <w:szCs w:val="22"/>
          <w:highlight w:val="none"/>
        </w:rPr>
        <w:t>。</w:t>
      </w:r>
    </w:p>
    <w:p>
      <w:pPr>
        <w:widowControl/>
        <w:snapToGrid w:val="0"/>
        <w:spacing w:line="360" w:lineRule="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在诉讼或仲裁期间，本协议不涉及争议部分的条款仍须履行。</w:t>
      </w:r>
    </w:p>
    <w:p>
      <w:pPr>
        <w:widowControl/>
        <w:snapToGrid w:val="0"/>
        <w:spacing w:line="360" w:lineRule="auto"/>
        <w:rPr>
          <w:rFonts w:hint="eastAsia" w:ascii="宋体" w:hAnsi="宋体" w:eastAsia="宋体" w:cs="宋体"/>
          <w:b/>
          <w:color w:val="auto"/>
          <w:kern w:val="0"/>
          <w:sz w:val="22"/>
          <w:szCs w:val="22"/>
          <w:highlight w:val="none"/>
        </w:rPr>
      </w:pPr>
    </w:p>
    <w:p>
      <w:pPr>
        <w:widowControl/>
        <w:snapToGrid w:val="0"/>
        <w:spacing w:line="360" w:lineRule="auto"/>
        <w:ind w:firstLine="221" w:firstLineChars="100"/>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八、生效、变更与解除</w:t>
      </w:r>
    </w:p>
    <w:p>
      <w:pPr>
        <w:widowControl/>
        <w:snapToGrid w:val="0"/>
        <w:spacing w:line="360" w:lineRule="auto"/>
        <w:ind w:firstLine="555"/>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（一）本协议自立约各方</w:t>
      </w:r>
      <w:r>
        <w:rPr>
          <w:rFonts w:hint="eastAsia" w:ascii="宋体" w:hAnsi="宋体" w:eastAsia="宋体" w:cs="宋体"/>
          <w:color w:val="auto"/>
          <w:kern w:val="24"/>
          <w:sz w:val="22"/>
          <w:szCs w:val="22"/>
          <w:highlight w:val="none"/>
        </w:rPr>
        <w:t>法定代表人/负责人或授权代理人签字或盖章并加盖单位印章</w:t>
      </w:r>
      <w:r>
        <w:rPr>
          <w:rFonts w:hint="eastAsia" w:ascii="宋体" w:hAnsi="宋体" w:eastAsia="宋体" w:cs="宋体"/>
          <w:color w:val="auto"/>
          <w:kern w:val="0"/>
          <w:sz w:val="22"/>
          <w:szCs w:val="22"/>
          <w:highlight w:val="none"/>
        </w:rPr>
        <w:t>之日起生效。本协议一式</w:t>
      </w:r>
      <w:r>
        <w:rPr>
          <w:rFonts w:hint="eastAsia" w:ascii="宋体" w:hAnsi="宋体" w:eastAsia="宋体" w:cs="宋体"/>
          <w:color w:val="auto"/>
          <w:kern w:val="0"/>
          <w:sz w:val="22"/>
          <w:szCs w:val="22"/>
          <w:highlight w:val="none"/>
          <w:u w:val="single"/>
        </w:rPr>
        <w:t xml:space="preserve">   肆  </w:t>
      </w:r>
      <w:r>
        <w:rPr>
          <w:rFonts w:hint="eastAsia" w:ascii="宋体" w:hAnsi="宋体" w:eastAsia="宋体" w:cs="宋体"/>
          <w:color w:val="auto"/>
          <w:kern w:val="0"/>
          <w:sz w:val="22"/>
          <w:szCs w:val="22"/>
          <w:highlight w:val="none"/>
        </w:rPr>
        <w:t>份，双方各执</w:t>
      </w:r>
      <w:r>
        <w:rPr>
          <w:rFonts w:hint="eastAsia" w:ascii="宋体" w:hAnsi="宋体" w:eastAsia="宋体" w:cs="宋体"/>
          <w:color w:val="auto"/>
          <w:kern w:val="0"/>
          <w:sz w:val="22"/>
          <w:szCs w:val="22"/>
          <w:highlight w:val="none"/>
          <w:u w:val="single"/>
        </w:rPr>
        <w:t xml:space="preserve">   贰   </w:t>
      </w:r>
      <w:r>
        <w:rPr>
          <w:rFonts w:hint="eastAsia" w:ascii="宋体" w:hAnsi="宋体" w:eastAsia="宋体" w:cs="宋体"/>
          <w:color w:val="auto"/>
          <w:kern w:val="0"/>
          <w:sz w:val="22"/>
          <w:szCs w:val="22"/>
          <w:highlight w:val="none"/>
        </w:rPr>
        <w:t>份，均具同等法律效力。</w:t>
      </w:r>
    </w:p>
    <w:p>
      <w:pPr>
        <w:widowControl/>
        <w:snapToGrid w:val="0"/>
        <w:spacing w:line="360" w:lineRule="auto"/>
        <w:ind w:firstLine="555"/>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（二）除本协议另有约定外，本协议的任何修改、补充等，均由协议双方友好协商一致达成书面协议约定；本协议的任何修改和补充均构成本协议不可分割的一部分。</w:t>
      </w:r>
    </w:p>
    <w:p>
      <w:pPr>
        <w:widowControl/>
        <w:snapToGrid w:val="0"/>
        <w:spacing w:line="360" w:lineRule="auto"/>
        <w:ind w:firstLine="555"/>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（三）本协议的任何条款的无效均不影响其他条款的效力。本协议的变更和解除，不影响各方要求赔偿损失的权利。本协议的解除，不影响有关争议解决条款的效力。</w:t>
      </w:r>
    </w:p>
    <w:p>
      <w:pPr>
        <w:widowControl/>
        <w:snapToGrid w:val="0"/>
        <w:spacing w:line="360" w:lineRule="auto"/>
        <w:rPr>
          <w:rFonts w:hint="eastAsia" w:ascii="宋体" w:hAnsi="宋体" w:eastAsia="宋体" w:cs="宋体"/>
          <w:b/>
          <w:color w:val="auto"/>
          <w:kern w:val="0"/>
          <w:sz w:val="22"/>
          <w:szCs w:val="22"/>
          <w:highlight w:val="none"/>
        </w:rPr>
      </w:pPr>
    </w:p>
    <w:p>
      <w:pPr>
        <w:widowControl/>
        <w:snapToGrid w:val="0"/>
        <w:spacing w:line="360" w:lineRule="auto"/>
        <w:ind w:firstLine="221" w:firstLineChars="100"/>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九、补充条款</w:t>
      </w:r>
    </w:p>
    <w:p>
      <w:pPr>
        <w:widowControl/>
        <w:tabs>
          <w:tab w:val="left" w:pos="1373"/>
        </w:tabs>
        <w:adjustRightInd w:val="0"/>
        <w:snapToGrid w:val="0"/>
        <w:spacing w:line="360" w:lineRule="auto"/>
        <w:ind w:firstLine="48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u w:val="single"/>
        </w:rPr>
        <w:t xml:space="preserve">                              \                                          </w:t>
      </w:r>
    </w:p>
    <w:p>
      <w:pPr>
        <w:widowControl/>
        <w:tabs>
          <w:tab w:val="left" w:pos="1373"/>
        </w:tabs>
        <w:adjustRightInd w:val="0"/>
        <w:snapToGrid w:val="0"/>
        <w:spacing w:line="360" w:lineRule="auto"/>
        <w:ind w:firstLine="48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u w:val="single"/>
        </w:rPr>
        <w:t xml:space="preserve">                                                                         </w:t>
      </w:r>
    </w:p>
    <w:p>
      <w:pPr>
        <w:widowControl/>
        <w:tabs>
          <w:tab w:val="left" w:pos="1373"/>
        </w:tabs>
        <w:adjustRightInd w:val="0"/>
        <w:snapToGrid w:val="0"/>
        <w:spacing w:line="360" w:lineRule="auto"/>
        <w:ind w:firstLine="48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u w:val="single"/>
        </w:rPr>
        <w:t xml:space="preserve">                                                                        </w:t>
      </w:r>
    </w:p>
    <w:p>
      <w:pPr>
        <w:widowControl/>
        <w:tabs>
          <w:tab w:val="left" w:pos="1373"/>
        </w:tabs>
        <w:adjustRightInd w:val="0"/>
        <w:snapToGrid w:val="0"/>
        <w:spacing w:line="360" w:lineRule="auto"/>
        <w:ind w:firstLine="48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w:t>
      </w:r>
    </w:p>
    <w:p>
      <w:pPr>
        <w:widowControl/>
        <w:tabs>
          <w:tab w:val="left" w:pos="1373"/>
        </w:tabs>
        <w:adjustRightInd w:val="0"/>
        <w:snapToGrid w:val="0"/>
        <w:spacing w:line="360" w:lineRule="auto"/>
        <w:ind w:firstLine="480"/>
        <w:rPr>
          <w:rFonts w:hint="eastAsia" w:ascii="宋体" w:hAnsi="宋体" w:eastAsia="宋体" w:cs="宋体"/>
          <w:color w:val="auto"/>
          <w:kern w:val="0"/>
          <w:sz w:val="22"/>
          <w:szCs w:val="22"/>
          <w:highlight w:val="none"/>
        </w:rPr>
      </w:pPr>
    </w:p>
    <w:p>
      <w:pPr>
        <w:widowControl/>
        <w:tabs>
          <w:tab w:val="left" w:pos="1373"/>
        </w:tabs>
        <w:adjustRightInd w:val="0"/>
        <w:snapToGrid w:val="0"/>
        <w:spacing w:line="360" w:lineRule="auto"/>
        <w:ind w:firstLine="48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（以下无正文）</w:t>
      </w:r>
    </w:p>
    <w:p>
      <w:pPr>
        <w:widowControl/>
        <w:snapToGrid w:val="0"/>
        <w:spacing w:line="360" w:lineRule="auto"/>
        <w:rPr>
          <w:rFonts w:hint="eastAsia" w:ascii="宋体" w:hAnsi="宋体" w:eastAsia="宋体" w:cs="宋体"/>
          <w:b/>
          <w:color w:val="auto"/>
          <w:kern w:val="0"/>
          <w:sz w:val="22"/>
          <w:szCs w:val="22"/>
          <w:highlight w:val="none"/>
        </w:rPr>
      </w:pPr>
      <w:r>
        <w:rPr>
          <w:rFonts w:hint="eastAsia" w:ascii="宋体" w:hAnsi="宋体" w:eastAsia="宋体" w:cs="宋体"/>
          <w:color w:val="auto"/>
          <w:kern w:val="0"/>
          <w:sz w:val="24"/>
          <w:szCs w:val="24"/>
          <w:highlight w:val="none"/>
        </w:rPr>
        <w:br w:type="page"/>
      </w:r>
      <w:r>
        <w:rPr>
          <w:rFonts w:hint="eastAsia" w:ascii="宋体" w:hAnsi="宋体" w:eastAsia="宋体" w:cs="宋体"/>
          <w:color w:val="auto"/>
          <w:kern w:val="0"/>
          <w:sz w:val="22"/>
          <w:szCs w:val="22"/>
          <w:highlight w:val="none"/>
        </w:rPr>
        <w:t>（本页为编号【</w:t>
      </w:r>
      <w:r>
        <w:rPr>
          <w:rFonts w:hint="eastAsia" w:ascii="宋体" w:hAnsi="宋体" w:eastAsia="宋体" w:cs="宋体"/>
          <w:bCs/>
          <w:color w:val="auto"/>
          <w:kern w:val="0"/>
          <w:sz w:val="22"/>
          <w:szCs w:val="22"/>
          <w:highlight w:val="none"/>
        </w:rPr>
        <w:t xml:space="preserve">            </w:t>
      </w:r>
      <w:r>
        <w:rPr>
          <w:rFonts w:hint="eastAsia" w:ascii="宋体" w:hAnsi="宋体" w:eastAsia="宋体" w:cs="宋体"/>
          <w:color w:val="auto"/>
          <w:kern w:val="0"/>
          <w:sz w:val="22"/>
          <w:szCs w:val="22"/>
          <w:highlight w:val="none"/>
        </w:rPr>
        <w:t>】的《温州市铁路与轨道交通投资集团有限公司202</w:t>
      </w:r>
      <w:r>
        <w:rPr>
          <w:rFonts w:hint="eastAsia" w:ascii="宋体" w:hAnsi="宋体" w:eastAsia="宋体" w:cs="宋体"/>
          <w:color w:val="auto"/>
          <w:kern w:val="0"/>
          <w:sz w:val="22"/>
          <w:szCs w:val="22"/>
          <w:highlight w:val="none"/>
          <w:lang w:val="en-US" w:eastAsia="zh-CN"/>
        </w:rPr>
        <w:t>X</w:t>
      </w:r>
      <w:r>
        <w:rPr>
          <w:rFonts w:hint="eastAsia" w:ascii="宋体" w:hAnsi="宋体" w:eastAsia="宋体" w:cs="宋体"/>
          <w:color w:val="auto"/>
          <w:kern w:val="0"/>
          <w:sz w:val="22"/>
          <w:szCs w:val="22"/>
          <w:highlight w:val="none"/>
        </w:rPr>
        <w:t>年度第</w:t>
      </w:r>
      <w:r>
        <w:rPr>
          <w:rFonts w:hint="eastAsia" w:ascii="宋体" w:hAnsi="宋体" w:eastAsia="宋体" w:cs="宋体"/>
          <w:color w:val="auto"/>
          <w:kern w:val="0"/>
          <w:sz w:val="22"/>
          <w:szCs w:val="22"/>
          <w:highlight w:val="none"/>
          <w:lang w:val="en-US" w:eastAsia="zh-CN"/>
        </w:rPr>
        <w:t>N</w:t>
      </w:r>
      <w:r>
        <w:rPr>
          <w:rFonts w:hint="eastAsia" w:ascii="宋体" w:hAnsi="宋体" w:eastAsia="宋体" w:cs="宋体"/>
          <w:color w:val="auto"/>
          <w:kern w:val="0"/>
          <w:sz w:val="22"/>
          <w:szCs w:val="22"/>
          <w:highlight w:val="none"/>
        </w:rPr>
        <w:t>期超短期融资券募集资金账户监管协议》的签署页）</w:t>
      </w:r>
    </w:p>
    <w:p>
      <w:pPr>
        <w:widowControl/>
        <w:snapToGrid w:val="0"/>
        <w:spacing w:line="400" w:lineRule="exact"/>
        <w:ind w:firstLine="702" w:firstLineChars="318"/>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 xml:space="preserve"> </w:t>
      </w:r>
    </w:p>
    <w:p>
      <w:pPr>
        <w:widowControl/>
        <w:snapToGrid w:val="0"/>
        <w:spacing w:line="400" w:lineRule="exact"/>
        <w:ind w:firstLine="702" w:firstLineChars="318"/>
        <w:rPr>
          <w:rFonts w:hint="eastAsia" w:ascii="宋体" w:hAnsi="宋体" w:eastAsia="宋体" w:cs="宋体"/>
          <w:b/>
          <w:color w:val="auto"/>
          <w:kern w:val="0"/>
          <w:sz w:val="22"/>
          <w:szCs w:val="22"/>
          <w:highlight w:val="none"/>
        </w:rPr>
      </w:pPr>
    </w:p>
    <w:tbl>
      <w:tblPr>
        <w:tblStyle w:val="36"/>
        <w:tblW w:w="8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66" w:hRule="exact"/>
          <w:jc w:val="center"/>
        </w:trPr>
        <w:tc>
          <w:tcPr>
            <w:tcW w:w="8708" w:type="dxa"/>
            <w:vAlign w:val="center"/>
          </w:tcPr>
          <w:p>
            <w:pPr>
              <w:widowControl/>
              <w:spacing w:line="400" w:lineRule="exact"/>
              <w:ind w:right="53" w:rightChars="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甲方（公章）</w:t>
            </w:r>
          </w:p>
          <w:p>
            <w:pPr>
              <w:widowControl/>
              <w:spacing w:line="400" w:lineRule="exact"/>
              <w:ind w:left="53" w:leftChars="25" w:right="53" w:rightChars="25"/>
              <w:rPr>
                <w:rFonts w:hint="eastAsia" w:ascii="宋体" w:hAnsi="宋体" w:eastAsia="宋体" w:cs="宋体"/>
                <w:color w:val="auto"/>
                <w:sz w:val="22"/>
                <w:szCs w:val="22"/>
                <w:highlight w:val="none"/>
              </w:rPr>
            </w:pPr>
          </w:p>
          <w:p>
            <w:pPr>
              <w:widowControl/>
              <w:spacing w:line="400" w:lineRule="exact"/>
              <w:ind w:left="53" w:leftChars="25" w:right="53" w:rightChars="25"/>
              <w:rPr>
                <w:rFonts w:hint="eastAsia" w:ascii="宋体" w:hAnsi="宋体" w:eastAsia="宋体" w:cs="宋体"/>
                <w:color w:val="auto"/>
                <w:sz w:val="22"/>
                <w:szCs w:val="22"/>
                <w:highlight w:val="none"/>
              </w:rPr>
            </w:pPr>
          </w:p>
          <w:p>
            <w:pPr>
              <w:widowControl/>
              <w:spacing w:line="400" w:lineRule="exact"/>
              <w:ind w:left="53" w:leftChars="25" w:right="53" w:rightChars="25"/>
              <w:rPr>
                <w:rFonts w:hint="eastAsia" w:ascii="宋体" w:hAnsi="宋体" w:eastAsia="宋体" w:cs="宋体"/>
                <w:color w:val="auto"/>
                <w:sz w:val="22"/>
                <w:szCs w:val="22"/>
                <w:highlight w:val="none"/>
              </w:rPr>
            </w:pPr>
          </w:p>
          <w:p>
            <w:pPr>
              <w:widowControl/>
              <w:spacing w:line="400" w:lineRule="exact"/>
              <w:ind w:left="53" w:leftChars="25" w:right="53" w:rightChars="25"/>
              <w:rPr>
                <w:rFonts w:hint="eastAsia" w:ascii="宋体" w:hAnsi="宋体" w:eastAsia="宋体" w:cs="宋体"/>
                <w:color w:val="auto"/>
                <w:sz w:val="22"/>
                <w:szCs w:val="22"/>
                <w:highlight w:val="none"/>
              </w:rPr>
            </w:pPr>
          </w:p>
          <w:p>
            <w:pPr>
              <w:widowControl/>
              <w:spacing w:line="400" w:lineRule="exact"/>
              <w:ind w:left="53" w:leftChars="25" w:right="53" w:rightChars="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法定代表人/负责人或授权代理人（签字）：</w:t>
            </w:r>
          </w:p>
          <w:p>
            <w:pPr>
              <w:widowControl/>
              <w:spacing w:line="400" w:lineRule="exact"/>
              <w:ind w:left="53" w:leftChars="25" w:right="53" w:rightChars="25"/>
              <w:rPr>
                <w:rFonts w:hint="eastAsia" w:ascii="宋体" w:hAnsi="宋体" w:eastAsia="宋体" w:cs="宋体"/>
                <w:color w:val="auto"/>
                <w:sz w:val="22"/>
                <w:szCs w:val="22"/>
                <w:highlight w:val="none"/>
              </w:rPr>
            </w:pPr>
          </w:p>
          <w:p>
            <w:pPr>
              <w:widowControl/>
              <w:spacing w:line="400" w:lineRule="exact"/>
              <w:ind w:left="25" w:right="25"/>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eastAsia="en-US"/>
              </w:rPr>
              <w:t>年   月   日</w:t>
            </w:r>
          </w:p>
          <w:p>
            <w:pPr>
              <w:widowControl/>
              <w:spacing w:line="400" w:lineRule="exact"/>
              <w:ind w:left="25" w:right="25"/>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45" w:hRule="exact"/>
          <w:jc w:val="center"/>
        </w:trPr>
        <w:tc>
          <w:tcPr>
            <w:tcW w:w="8708" w:type="dxa"/>
            <w:vAlign w:val="center"/>
          </w:tcPr>
          <w:p>
            <w:pPr>
              <w:widowControl/>
              <w:spacing w:line="400" w:lineRule="exact"/>
              <w:ind w:right="53" w:rightChars="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乙方（印章）</w:t>
            </w:r>
          </w:p>
          <w:p>
            <w:pPr>
              <w:widowControl/>
              <w:spacing w:line="400" w:lineRule="exact"/>
              <w:ind w:left="53" w:leftChars="25" w:right="53" w:rightChars="25"/>
              <w:rPr>
                <w:rFonts w:hint="eastAsia" w:ascii="宋体" w:hAnsi="宋体" w:eastAsia="宋体" w:cs="宋体"/>
                <w:color w:val="auto"/>
                <w:sz w:val="22"/>
                <w:szCs w:val="22"/>
                <w:highlight w:val="none"/>
              </w:rPr>
            </w:pPr>
          </w:p>
          <w:p>
            <w:pPr>
              <w:widowControl/>
              <w:spacing w:line="400" w:lineRule="exact"/>
              <w:ind w:left="53" w:leftChars="25" w:right="53" w:rightChars="25"/>
              <w:rPr>
                <w:rFonts w:hint="eastAsia" w:ascii="宋体" w:hAnsi="宋体" w:eastAsia="宋体" w:cs="宋体"/>
                <w:color w:val="auto"/>
                <w:sz w:val="22"/>
                <w:szCs w:val="22"/>
                <w:highlight w:val="none"/>
              </w:rPr>
            </w:pPr>
          </w:p>
          <w:p>
            <w:pPr>
              <w:widowControl/>
              <w:spacing w:line="400" w:lineRule="exact"/>
              <w:ind w:left="53" w:leftChars="25" w:right="53" w:rightChars="25"/>
              <w:rPr>
                <w:rFonts w:hint="eastAsia" w:ascii="宋体" w:hAnsi="宋体" w:eastAsia="宋体" w:cs="宋体"/>
                <w:color w:val="auto"/>
                <w:sz w:val="22"/>
                <w:szCs w:val="22"/>
                <w:highlight w:val="none"/>
              </w:rPr>
            </w:pPr>
          </w:p>
          <w:p>
            <w:pPr>
              <w:widowControl/>
              <w:spacing w:line="400" w:lineRule="exact"/>
              <w:ind w:left="53" w:leftChars="25" w:right="53" w:rightChars="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负责人或授权代理人（签字或盖章）：</w:t>
            </w:r>
          </w:p>
          <w:p>
            <w:pPr>
              <w:widowControl/>
              <w:spacing w:line="400" w:lineRule="exact"/>
              <w:ind w:left="25" w:right="25"/>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widowControl/>
              <w:spacing w:line="400" w:lineRule="exact"/>
              <w:ind w:left="25" w:right="25"/>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eastAsia="en-US"/>
              </w:rPr>
              <w:t>年   月   日</w:t>
            </w:r>
          </w:p>
          <w:p>
            <w:pPr>
              <w:widowControl/>
              <w:spacing w:line="400" w:lineRule="exact"/>
              <w:ind w:right="53" w:rightChars="25"/>
              <w:rPr>
                <w:rFonts w:hint="eastAsia" w:ascii="宋体" w:hAnsi="宋体" w:eastAsia="宋体" w:cs="宋体"/>
                <w:color w:val="auto"/>
                <w:sz w:val="22"/>
                <w:szCs w:val="22"/>
                <w:highlight w:val="none"/>
              </w:rPr>
            </w:pPr>
          </w:p>
        </w:tc>
      </w:tr>
    </w:tbl>
    <w:p>
      <w:pPr>
        <w:widowControl/>
        <w:spacing w:line="288" w:lineRule="auto"/>
        <w:rPr>
          <w:rFonts w:hint="eastAsia" w:ascii="宋体" w:hAnsi="宋体" w:eastAsia="宋体" w:cs="宋体"/>
          <w:b/>
          <w:color w:val="auto"/>
          <w:kern w:val="0"/>
          <w:sz w:val="22"/>
          <w:szCs w:val="22"/>
          <w:highlight w:val="none"/>
        </w:rPr>
      </w:pPr>
    </w:p>
    <w:p>
      <w:pPr>
        <w:rPr>
          <w:rFonts w:hint="eastAsia" w:ascii="宋体" w:hAnsi="宋体" w:eastAsia="宋体" w:cs="宋体"/>
          <w:color w:val="auto"/>
          <w:highlight w:val="none"/>
        </w:rPr>
      </w:pPr>
    </w:p>
    <w:p>
      <w:pPr>
        <w:pStyle w:val="8"/>
        <w:rPr>
          <w:rFonts w:hint="eastAsia" w:ascii="宋体" w:hAnsi="宋体" w:eastAsia="宋体" w:cs="宋体"/>
          <w:b/>
          <w:bCs/>
          <w:color w:val="auto"/>
          <w:sz w:val="22"/>
          <w:szCs w:val="22"/>
          <w:highlight w:val="none"/>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spacing w:before="100" w:beforeAutospacing="1" w:after="100" w:afterAutospacing="1" w:line="440" w:lineRule="exact"/>
        <w:jc w:val="center"/>
        <w:outlineLvl w:val="0"/>
        <w:rPr>
          <w:rFonts w:hint="eastAsia" w:ascii="宋体" w:hAnsi="宋体" w:eastAsia="宋体" w:cs="宋体"/>
          <w:b/>
          <w:bCs/>
          <w:color w:val="auto"/>
          <w:sz w:val="36"/>
          <w:szCs w:val="36"/>
          <w:highlight w:val="none"/>
        </w:rPr>
      </w:pPr>
      <w:bookmarkStart w:id="272" w:name="_Toc14055"/>
      <w:bookmarkStart w:id="273" w:name="_Toc20492"/>
      <w:bookmarkStart w:id="274" w:name="_Toc75948405"/>
      <w:r>
        <w:rPr>
          <w:rFonts w:hint="eastAsia" w:ascii="宋体" w:hAnsi="宋体" w:eastAsia="宋体" w:cs="宋体"/>
          <w:b/>
          <w:bCs/>
          <w:color w:val="auto"/>
          <w:sz w:val="36"/>
          <w:szCs w:val="36"/>
          <w:highlight w:val="none"/>
        </w:rPr>
        <w:t xml:space="preserve">第三部分   </w:t>
      </w:r>
      <w:bookmarkStart w:id="275" w:name="_Toc251592742"/>
      <w:bookmarkStart w:id="276" w:name="_Toc222114884"/>
      <w:bookmarkStart w:id="277" w:name="_Toc221374631"/>
      <w:bookmarkStart w:id="278" w:name="_Toc221356956"/>
      <w:bookmarkStart w:id="279" w:name="_Toc223716003"/>
      <w:bookmarkStart w:id="280" w:name="_Toc221356892"/>
      <w:bookmarkStart w:id="281" w:name="_Toc246261270"/>
      <w:bookmarkStart w:id="282" w:name="_Toc245191319"/>
      <w:bookmarkStart w:id="283" w:name="_Toc241404207"/>
      <w:bookmarkStart w:id="284" w:name="_Toc245722286"/>
      <w:bookmarkStart w:id="285" w:name="_Toc251325219"/>
      <w:bookmarkStart w:id="286" w:name="_Toc239145359"/>
      <w:bookmarkStart w:id="287" w:name="_Toc252194857"/>
      <w:bookmarkStart w:id="288" w:name="_Toc22142362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hint="eastAsia" w:ascii="宋体" w:hAnsi="宋体" w:eastAsia="宋体" w:cs="宋体"/>
          <w:b/>
          <w:bCs/>
          <w:color w:val="auto"/>
          <w:sz w:val="36"/>
          <w:szCs w:val="36"/>
          <w:highlight w:val="none"/>
        </w:rPr>
        <w:t>附件</w:t>
      </w:r>
      <w:bookmarkEnd w:id="194"/>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附件一</w:t>
      </w: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资格证明文件</w:t>
      </w: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（1）企业/事业单位法人有效营业执照、税务登记证（如为多证合一仅需提供营业执照）； </w:t>
      </w: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 xml:space="preserve">                   </w:t>
      </w:r>
      <w:r>
        <w:rPr>
          <w:rFonts w:hint="eastAsia" w:ascii="宋体" w:hAnsi="宋体" w:eastAsia="宋体" w:cs="宋体"/>
          <w:b/>
          <w:bCs/>
          <w:color w:val="auto"/>
          <w:sz w:val="22"/>
          <w:szCs w:val="22"/>
          <w:highlight w:val="none"/>
        </w:rPr>
        <w:t>（2）</w:t>
      </w:r>
      <w:r>
        <w:rPr>
          <w:rFonts w:hint="eastAsia" w:ascii="宋体" w:hAnsi="宋体" w:eastAsia="宋体" w:cs="宋体"/>
          <w:b/>
          <w:color w:val="auto"/>
          <w:sz w:val="22"/>
          <w:szCs w:val="22"/>
          <w:highlight w:val="none"/>
        </w:rPr>
        <w:t>符合参加国企采购活动应当具备的条件的承诺函</w:t>
      </w:r>
      <w:r>
        <w:rPr>
          <w:rFonts w:hint="eastAsia" w:ascii="宋体" w:hAnsi="宋体" w:eastAsia="宋体" w:cs="宋体"/>
          <w:b/>
          <w:bCs/>
          <w:color w:val="auto"/>
          <w:sz w:val="22"/>
          <w:szCs w:val="22"/>
          <w:highlight w:val="none"/>
        </w:rPr>
        <w:t>;</w:t>
      </w: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温州市铁路与轨道交通投资集团有限公司</w:t>
      </w:r>
      <w:r>
        <w:rPr>
          <w:rFonts w:hint="eastAsia" w:ascii="宋体" w:hAnsi="宋体" w:eastAsia="宋体" w:cs="宋体"/>
          <w:b/>
          <w:bCs/>
          <w:color w:val="auto"/>
          <w:sz w:val="22"/>
          <w:szCs w:val="22"/>
          <w:highlight w:val="none"/>
        </w:rPr>
        <w:t>：</w:t>
      </w:r>
    </w:p>
    <w:p>
      <w:pPr>
        <w:widowControl/>
        <w:adjustRightInd w:val="0"/>
        <w:snapToGrid w:val="0"/>
        <w:spacing w:line="440" w:lineRule="exact"/>
        <w:jc w:val="left"/>
        <w:rPr>
          <w:rFonts w:hint="eastAsia" w:ascii="宋体" w:hAnsi="宋体" w:eastAsia="宋体" w:cs="宋体"/>
          <w:color w:val="auto"/>
          <w:kern w:val="0"/>
          <w:sz w:val="22"/>
          <w:szCs w:val="22"/>
          <w:highlight w:val="none"/>
        </w:rPr>
      </w:pPr>
    </w:p>
    <w:p>
      <w:pPr>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我方参与（项目名称）【项目编号：</w:t>
      </w:r>
      <w:r>
        <w:rPr>
          <w:rFonts w:hint="eastAsia" w:ascii="宋体" w:hAnsi="宋体" w:eastAsia="宋体" w:cs="宋体"/>
          <w:color w:val="auto"/>
          <w:spacing w:val="30"/>
          <w:sz w:val="30"/>
          <w:highlight w:val="none"/>
        </w:rPr>
        <w:fldChar w:fldCharType="begin"/>
      </w:r>
      <w:r>
        <w:rPr>
          <w:rFonts w:hint="eastAsia" w:ascii="宋体" w:hAnsi="宋体" w:eastAsia="宋体" w:cs="宋体"/>
          <w:color w:val="auto"/>
          <w:spacing w:val="30"/>
          <w:sz w:val="30"/>
          <w:highlight w:val="none"/>
        </w:rPr>
        <w:instrText xml:space="preserve"> HYPERLINK "https://ep-purchaseplan.zhengcaiyun.cn/ep-purchaseplan-index/" \l "/plan/list/detail?id=1000000000007283652" </w:instrText>
      </w:r>
      <w:r>
        <w:rPr>
          <w:rFonts w:hint="eastAsia" w:ascii="宋体" w:hAnsi="宋体" w:eastAsia="宋体" w:cs="宋体"/>
          <w:color w:val="auto"/>
          <w:spacing w:val="30"/>
          <w:sz w:val="30"/>
          <w:highlight w:val="none"/>
        </w:rPr>
        <w:fldChar w:fldCharType="separate"/>
      </w:r>
      <w:r>
        <w:rPr>
          <w:rFonts w:hint="eastAsia" w:ascii="宋体" w:hAnsi="宋体" w:eastAsia="宋体" w:cs="宋体"/>
          <w:color w:val="auto"/>
          <w:spacing w:val="30"/>
          <w:sz w:val="30"/>
          <w:highlight w:val="none"/>
        </w:rPr>
        <w:fldChar w:fldCharType="end"/>
      </w:r>
      <w:r>
        <w:rPr>
          <w:rFonts w:hint="eastAsia" w:ascii="宋体" w:hAnsi="宋体" w:eastAsia="宋体" w:cs="宋体"/>
          <w:color w:val="auto"/>
          <w:spacing w:val="30"/>
          <w:sz w:val="30"/>
          <w:highlight w:val="none"/>
        </w:rPr>
        <w:t xml:space="preserve">        </w:t>
      </w:r>
      <w:r>
        <w:rPr>
          <w:rFonts w:hint="eastAsia" w:ascii="宋体" w:hAnsi="宋体" w:eastAsia="宋体" w:cs="宋体"/>
          <w:color w:val="auto"/>
          <w:sz w:val="22"/>
          <w:szCs w:val="22"/>
          <w:highlight w:val="none"/>
        </w:rPr>
        <w:t>】国企采购活动，郑重承诺：</w:t>
      </w:r>
    </w:p>
    <w:p>
      <w:pPr>
        <w:snapToGrid w:val="0"/>
        <w:spacing w:line="360" w:lineRule="auto"/>
        <w:ind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（一）我方具备</w:t>
      </w:r>
      <w:r>
        <w:rPr>
          <w:rFonts w:hint="eastAsia" w:ascii="宋体" w:hAnsi="宋体" w:eastAsia="宋体" w:cs="宋体"/>
          <w:color w:val="auto"/>
          <w:kern w:val="0"/>
          <w:sz w:val="22"/>
          <w:szCs w:val="22"/>
          <w:highlight w:val="none"/>
        </w:rPr>
        <w:t>符合《温州市市属国有企业采购管理办法（试行）》第十五条对供应商参加温州市国有企业采购活动应当具备的条件</w:t>
      </w:r>
      <w:r>
        <w:rPr>
          <w:rFonts w:hint="eastAsia" w:ascii="宋体" w:hAnsi="宋体" w:eastAsia="宋体" w:cs="宋体"/>
          <w:color w:val="auto"/>
          <w:sz w:val="22"/>
          <w:szCs w:val="22"/>
          <w:highlight w:val="none"/>
        </w:rPr>
        <w:t>：</w:t>
      </w:r>
    </w:p>
    <w:p>
      <w:pPr>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1、具有独立承担民事责任的能力；</w:t>
      </w:r>
    </w:p>
    <w:p>
      <w:pPr>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2、具有良好的商业信誉和健全的财务会计制度； </w:t>
      </w:r>
    </w:p>
    <w:p>
      <w:pPr>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3、具有履行合同所必需的设备和专业技术能力、售后保障等能力；</w:t>
      </w:r>
    </w:p>
    <w:p>
      <w:pPr>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4、有依法缴纳税收和社会保障资金的良好记录；</w:t>
      </w:r>
    </w:p>
    <w:p>
      <w:pPr>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5、参加采购、招投标等活动前三年内，在经营活动中没有重大违法记录、严重失信记录和行贿记录；</w:t>
      </w:r>
    </w:p>
    <w:p>
      <w:pPr>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6、具有法律、行政法规规定的其他条件。</w:t>
      </w:r>
    </w:p>
    <w:p>
      <w:pPr>
        <w:widowControl/>
        <w:adjustRightInd w:val="0"/>
        <w:snapToGrid w:val="0"/>
        <w:spacing w:line="44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pStyle w:val="13"/>
        <w:rPr>
          <w:rFonts w:hint="eastAsia" w:ascii="宋体" w:hAnsi="宋体" w:eastAsia="宋体" w:cs="宋体"/>
          <w:color w:val="auto"/>
          <w:sz w:val="22"/>
          <w:szCs w:val="22"/>
          <w:highlight w:val="none"/>
        </w:rPr>
      </w:pP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投标供应商全称（</w:t>
      </w:r>
      <w:r>
        <w:rPr>
          <w:rFonts w:hint="eastAsia" w:ascii="宋体" w:hAnsi="宋体" w:eastAsia="宋体" w:cs="宋体"/>
          <w:color w:val="auto"/>
          <w:sz w:val="22"/>
          <w:szCs w:val="22"/>
          <w:highlight w:val="none"/>
          <w:lang w:eastAsia="zh-CN"/>
        </w:rPr>
        <w:t>盖章</w:t>
      </w:r>
      <w:r>
        <w:rPr>
          <w:rFonts w:hint="eastAsia" w:ascii="宋体" w:hAnsi="宋体" w:eastAsia="宋体" w:cs="宋体"/>
          <w:color w:val="auto"/>
          <w:sz w:val="22"/>
          <w:szCs w:val="22"/>
          <w:highlight w:val="none"/>
        </w:rPr>
        <w:t>） ：</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法定代表人（或单位负责人）或授权代表（签字或盖章）：</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spacing w:line="460" w:lineRule="exact"/>
        <w:jc w:val="both"/>
        <w:rPr>
          <w:rFonts w:hint="eastAsia" w:ascii="宋体" w:hAnsi="宋体" w:eastAsia="宋体" w:cs="宋体"/>
          <w:b/>
          <w:bCs/>
          <w:color w:val="auto"/>
          <w:sz w:val="22"/>
          <w:szCs w:val="22"/>
          <w:highlight w:val="none"/>
        </w:rPr>
      </w:pPr>
    </w:p>
    <w:p>
      <w:pPr>
        <w:spacing w:line="460" w:lineRule="exact"/>
        <w:jc w:val="center"/>
        <w:rPr>
          <w:rFonts w:hint="eastAsia" w:ascii="宋体" w:hAnsi="宋体" w:eastAsia="宋体" w:cs="宋体"/>
          <w:b/>
          <w:bCs/>
          <w:color w:val="auto"/>
          <w:sz w:val="22"/>
          <w:szCs w:val="22"/>
          <w:highlight w:val="none"/>
        </w:rPr>
      </w:pPr>
    </w:p>
    <w:p>
      <w:pPr>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3</w:t>
      </w:r>
      <w:r>
        <w:rPr>
          <w:rFonts w:hint="eastAsia" w:ascii="宋体" w:hAnsi="宋体" w:eastAsia="宋体" w:cs="宋体"/>
          <w:b/>
          <w:bCs/>
          <w:color w:val="auto"/>
          <w:sz w:val="22"/>
          <w:szCs w:val="22"/>
          <w:highlight w:val="none"/>
        </w:rPr>
        <w:t>）单位负责人为同一人或者存在直接控股、管理关系的不同供应商，不得参加同一合同项下的国企采购活动承诺函</w:t>
      </w:r>
    </w:p>
    <w:p>
      <w:pPr>
        <w:spacing w:line="460" w:lineRule="exact"/>
        <w:rPr>
          <w:rFonts w:hint="eastAsia" w:ascii="宋体" w:hAnsi="宋体" w:eastAsia="宋体" w:cs="宋体"/>
          <w:color w:val="auto"/>
          <w:sz w:val="22"/>
          <w:szCs w:val="22"/>
          <w:highlight w:val="none"/>
          <w:u w:val="single"/>
        </w:rPr>
      </w:pPr>
      <w:r>
        <w:rPr>
          <w:rFonts w:hint="eastAsia" w:ascii="宋体" w:hAnsi="宋体" w:eastAsia="宋体" w:cs="宋体"/>
          <w:b/>
          <w:bCs/>
          <w:color w:val="auto"/>
          <w:sz w:val="22"/>
          <w:szCs w:val="22"/>
          <w:highlight w:val="none"/>
          <w:lang w:eastAsia="zh-CN"/>
        </w:rPr>
        <w:t>温州市铁路与轨道交通投资集团有限公司</w:t>
      </w:r>
      <w:r>
        <w:rPr>
          <w:rFonts w:hint="eastAsia" w:ascii="宋体" w:hAnsi="宋体" w:eastAsia="宋体" w:cs="宋体"/>
          <w:color w:val="auto"/>
          <w:sz w:val="22"/>
          <w:szCs w:val="22"/>
          <w:highlight w:val="none"/>
          <w:u w:val="single"/>
          <w:lang w:eastAsia="zh-CN"/>
        </w:rPr>
        <w:t>：</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我方郑重承诺，我方此次参加</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项目的投标，与参加本次项目同一合同项下国企采购活动的其他供应商不存在单位负责人为同一人或者直接控股、管理关系。如有虚假或隐瞒，愿意承担一切后果。</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特此承诺！</w:t>
      </w:r>
    </w:p>
    <w:p>
      <w:pPr>
        <w:spacing w:line="460" w:lineRule="exact"/>
        <w:rPr>
          <w:rFonts w:hint="eastAsia" w:ascii="宋体" w:hAnsi="宋体" w:eastAsia="宋体" w:cs="宋体"/>
          <w:color w:val="auto"/>
          <w:sz w:val="22"/>
          <w:szCs w:val="22"/>
          <w:highlight w:val="none"/>
        </w:rPr>
      </w:pP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投标供应商全称（</w:t>
      </w:r>
      <w:r>
        <w:rPr>
          <w:rFonts w:hint="eastAsia" w:ascii="宋体" w:hAnsi="宋体" w:eastAsia="宋体" w:cs="宋体"/>
          <w:color w:val="auto"/>
          <w:sz w:val="22"/>
          <w:szCs w:val="22"/>
          <w:highlight w:val="none"/>
          <w:lang w:eastAsia="zh-CN"/>
        </w:rPr>
        <w:t>盖章</w:t>
      </w:r>
      <w:r>
        <w:rPr>
          <w:rFonts w:hint="eastAsia" w:ascii="宋体" w:hAnsi="宋体" w:eastAsia="宋体" w:cs="宋体"/>
          <w:color w:val="auto"/>
          <w:sz w:val="22"/>
          <w:szCs w:val="22"/>
          <w:highlight w:val="none"/>
        </w:rPr>
        <w:t>） ：</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法定代表人（或单位负责人）或授权代表（签字或盖章）：</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spacing w:line="460" w:lineRule="exact"/>
        <w:jc w:val="center"/>
        <w:rPr>
          <w:rFonts w:hint="eastAsia" w:ascii="宋体" w:hAnsi="宋体" w:eastAsia="宋体" w:cs="宋体"/>
          <w:b/>
          <w:bCs/>
          <w:color w:val="auto"/>
          <w:sz w:val="22"/>
          <w:szCs w:val="22"/>
          <w:highlight w:val="none"/>
        </w:rPr>
      </w:pPr>
    </w:p>
    <w:p>
      <w:pPr>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4</w:t>
      </w:r>
      <w:r>
        <w:rPr>
          <w:rFonts w:hint="eastAsia" w:ascii="宋体" w:hAnsi="宋体" w:eastAsia="宋体" w:cs="宋体"/>
          <w:b/>
          <w:bCs/>
          <w:color w:val="auto"/>
          <w:sz w:val="22"/>
          <w:szCs w:val="22"/>
          <w:highlight w:val="none"/>
        </w:rPr>
        <w:t>）投标供应商没有失信记录承诺函</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eastAsia="zh-CN"/>
        </w:rPr>
        <w:t>温州市铁路与轨道交通投资集团有限公司</w:t>
      </w:r>
      <w:r>
        <w:rPr>
          <w:rFonts w:hint="eastAsia" w:ascii="宋体" w:hAnsi="宋体" w:eastAsia="宋体" w:cs="宋体"/>
          <w:color w:val="auto"/>
          <w:sz w:val="22"/>
          <w:szCs w:val="22"/>
          <w:highlight w:val="none"/>
        </w:rPr>
        <w:t>：</w:t>
      </w:r>
    </w:p>
    <w:p>
      <w:pPr>
        <w:spacing w:line="460" w:lineRule="exact"/>
        <w:ind w:firstLine="660" w:firstLine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特此承诺！</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投标供应商全称（</w:t>
      </w:r>
      <w:r>
        <w:rPr>
          <w:rFonts w:hint="eastAsia" w:ascii="宋体" w:hAnsi="宋体" w:eastAsia="宋体" w:cs="宋体"/>
          <w:color w:val="auto"/>
          <w:sz w:val="22"/>
          <w:szCs w:val="22"/>
          <w:highlight w:val="none"/>
          <w:lang w:eastAsia="zh-CN"/>
        </w:rPr>
        <w:t>盖章</w:t>
      </w:r>
      <w:r>
        <w:rPr>
          <w:rFonts w:hint="eastAsia" w:ascii="宋体" w:hAnsi="宋体" w:eastAsia="宋体" w:cs="宋体"/>
          <w:color w:val="auto"/>
          <w:sz w:val="22"/>
          <w:szCs w:val="22"/>
          <w:highlight w:val="none"/>
        </w:rPr>
        <w:t>） ：</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法定代表人（或单位负责人）或授权代表（签字或盖章）：</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pStyle w:val="8"/>
        <w:rPr>
          <w:rFonts w:hint="eastAsia" w:ascii="宋体" w:hAnsi="宋体" w:eastAsia="宋体" w:cs="宋体"/>
          <w:color w:val="auto"/>
          <w:highlight w:val="none"/>
        </w:rPr>
      </w:pPr>
    </w:p>
    <w:p>
      <w:pPr>
        <w:pStyle w:val="8"/>
        <w:widowControl w:val="0"/>
        <w:wordWrap/>
        <w:adjustRightInd/>
        <w:snapToGrid/>
        <w:spacing w:after="120" w:line="360" w:lineRule="auto"/>
        <w:ind w:left="0" w:leftChars="0" w:right="0" w:firstLine="221" w:firstLineChars="100"/>
        <w:jc w:val="both"/>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5</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具备行业监管部门认定的从事超短期融资券主承销业务的</w:t>
      </w:r>
      <w:r>
        <w:rPr>
          <w:rFonts w:hint="eastAsia" w:ascii="宋体" w:hAnsi="宋体" w:eastAsia="宋体" w:cs="宋体"/>
          <w:b/>
          <w:bCs/>
          <w:color w:val="auto"/>
          <w:sz w:val="22"/>
          <w:szCs w:val="22"/>
          <w:highlight w:val="none"/>
          <w:lang w:val="en-US" w:eastAsia="zh-CN"/>
        </w:rPr>
        <w:t>A类主承销业务承销类会员资格（提供非金融企业债务融资工具承销机构名单）；如投标供应商为总公司（总机构）的或全国性企业所设立的区域性分支机构中的省级机构（一级机构），则仅需提交总公司（总机构）的A类主承销业务承销类会员资格证明；如投标供应商为全国性企业所设立的区域性分支机构中的市级机构（二级机构），则需提交总公司（总机构）的A类主承销业务承销类会员资格证明，同时提供总公司（总机构）授权文件或提供省级机构（一级机构）授权文件；</w:t>
      </w:r>
    </w:p>
    <w:p>
      <w:pPr>
        <w:numPr>
          <w:numId w:val="0"/>
        </w:numPr>
        <w:spacing w:line="460" w:lineRule="exact"/>
        <w:ind w:left="0" w:firstLine="0"/>
        <w:rPr>
          <w:rFonts w:hint="eastAsia" w:ascii="宋体" w:hAnsi="宋体" w:eastAsia="宋体" w:cs="宋体"/>
          <w:b/>
          <w:bCs/>
          <w:color w:val="auto"/>
          <w:sz w:val="22"/>
          <w:szCs w:val="22"/>
          <w:highlight w:val="none"/>
          <w:lang w:eastAsia="zh-CN"/>
        </w:rPr>
      </w:pPr>
    </w:p>
    <w:p>
      <w:pPr>
        <w:numPr>
          <w:numId w:val="0"/>
        </w:numPr>
        <w:spacing w:line="460" w:lineRule="exact"/>
        <w:ind w:left="0" w:firstLine="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6</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授权委托书  格式见附件四</w:t>
      </w:r>
    </w:p>
    <w:p>
      <w:pPr>
        <w:spacing w:line="460" w:lineRule="exact"/>
        <w:ind w:left="42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r>
        <w:rPr>
          <w:rFonts w:hint="eastAsia" w:ascii="宋体" w:hAnsi="宋体" w:eastAsia="宋体" w:cs="宋体"/>
          <w:b/>
          <w:bCs/>
          <w:color w:val="auto"/>
          <w:sz w:val="22"/>
          <w:szCs w:val="22"/>
          <w:highlight w:val="none"/>
        </w:rPr>
        <w:t xml:space="preserve">附件二             </w:t>
      </w:r>
    </w:p>
    <w:p>
      <w:pPr>
        <w:spacing w:line="46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报价一览表</w:t>
      </w:r>
    </w:p>
    <w:p>
      <w:pPr>
        <w:rPr>
          <w:rFonts w:hint="eastAsia" w:ascii="宋体" w:hAnsi="宋体" w:eastAsia="宋体" w:cs="宋体"/>
          <w:color w:val="auto"/>
          <w:sz w:val="22"/>
          <w:szCs w:val="22"/>
          <w:highlight w:val="none"/>
        </w:rPr>
      </w:pPr>
    </w:p>
    <w:p>
      <w:pPr>
        <w:pStyle w:val="8"/>
        <w:ind w:firstLine="241"/>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36"/>
        <w:tblW w:w="9562"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2441"/>
        <w:gridCol w:w="3298"/>
        <w:gridCol w:w="382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034" w:hRule="atLeast"/>
          <w:jc w:val="center"/>
        </w:trPr>
        <w:tc>
          <w:tcPr>
            <w:tcW w:w="2441" w:type="dxa"/>
            <w:tcBorders>
              <w:top w:val="single" w:color="auto" w:sz="2" w:space="0"/>
              <w:left w:val="single" w:color="auto" w:sz="6" w:space="0"/>
              <w:bottom w:val="single" w:color="auto" w:sz="2" w:space="0"/>
              <w:right w:val="single" w:color="auto" w:sz="6" w:space="0"/>
            </w:tcBorders>
            <w:vAlign w:val="center"/>
          </w:tcPr>
          <w:p>
            <w:pPr>
              <w:spacing w:line="40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项目名称</w:t>
            </w:r>
          </w:p>
        </w:tc>
        <w:tc>
          <w:tcPr>
            <w:tcW w:w="3298" w:type="dxa"/>
            <w:tcBorders>
              <w:top w:val="single" w:color="auto" w:sz="2" w:space="0"/>
              <w:left w:val="single" w:color="auto" w:sz="6" w:space="0"/>
              <w:bottom w:val="single" w:color="auto" w:sz="2" w:space="0"/>
              <w:right w:val="single" w:color="auto" w:sz="6" w:space="0"/>
            </w:tcBorders>
            <w:vAlign w:val="center"/>
          </w:tcPr>
          <w:p>
            <w:pPr>
              <w:spacing w:line="40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投标报价（</w:t>
            </w:r>
            <w:r>
              <w:rPr>
                <w:rFonts w:hint="eastAsia" w:ascii="宋体" w:hAnsi="宋体" w:eastAsia="宋体" w:cs="宋体"/>
                <w:b/>
                <w:bCs/>
                <w:color w:val="auto"/>
                <w:sz w:val="22"/>
                <w:szCs w:val="22"/>
                <w:highlight w:val="none"/>
                <w:lang w:val="en-US" w:eastAsia="zh-CN"/>
              </w:rPr>
              <w:t>年</w:t>
            </w:r>
            <w:r>
              <w:rPr>
                <w:rFonts w:hint="eastAsia" w:ascii="宋体" w:hAnsi="宋体" w:eastAsia="宋体" w:cs="宋体"/>
                <w:b/>
                <w:bCs/>
                <w:color w:val="auto"/>
                <w:sz w:val="22"/>
                <w:szCs w:val="22"/>
                <w:highlight w:val="none"/>
              </w:rPr>
              <w:t>承销费率）</w:t>
            </w:r>
          </w:p>
        </w:tc>
        <w:tc>
          <w:tcPr>
            <w:tcW w:w="3823" w:type="dxa"/>
            <w:tcBorders>
              <w:top w:val="single" w:color="auto" w:sz="2" w:space="0"/>
              <w:left w:val="single" w:color="auto" w:sz="6" w:space="0"/>
              <w:bottom w:val="single" w:color="auto" w:sz="2" w:space="0"/>
              <w:right w:val="single" w:color="auto" w:sz="6" w:space="0"/>
            </w:tcBorders>
            <w:vAlign w:val="center"/>
          </w:tcPr>
          <w:p>
            <w:pPr>
              <w:pStyle w:val="16"/>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备注</w:t>
            </w:r>
          </w:p>
          <w:p>
            <w:pPr>
              <w:spacing w:line="40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（承销费率折算成BP）</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34" w:hRule="atLeast"/>
          <w:jc w:val="center"/>
        </w:trPr>
        <w:tc>
          <w:tcPr>
            <w:tcW w:w="2441" w:type="dxa"/>
            <w:tcBorders>
              <w:top w:val="single" w:color="auto" w:sz="6" w:space="0"/>
              <w:left w:val="single" w:color="auto" w:sz="6" w:space="0"/>
              <w:bottom w:val="single" w:color="auto" w:sz="2" w:space="0"/>
              <w:right w:val="single" w:color="auto" w:sz="6" w:space="0"/>
            </w:tcBorders>
            <w:vAlign w:val="center"/>
          </w:tcPr>
          <w:p>
            <w:pPr>
              <w:spacing w:line="400" w:lineRule="exact"/>
              <w:jc w:val="center"/>
              <w:rPr>
                <w:rFonts w:hint="eastAsia" w:ascii="宋体" w:hAnsi="宋体" w:eastAsia="宋体" w:cs="宋体"/>
                <w:b/>
                <w:bCs/>
                <w:color w:val="auto"/>
                <w:sz w:val="22"/>
                <w:szCs w:val="22"/>
                <w:highlight w:val="none"/>
              </w:rPr>
            </w:pPr>
          </w:p>
        </w:tc>
        <w:tc>
          <w:tcPr>
            <w:tcW w:w="3298" w:type="dxa"/>
            <w:tcBorders>
              <w:top w:val="single" w:color="auto" w:sz="6" w:space="0"/>
              <w:left w:val="single" w:color="auto" w:sz="6" w:space="0"/>
              <w:bottom w:val="single" w:color="auto" w:sz="2" w:space="0"/>
              <w:right w:val="single" w:color="auto" w:sz="6" w:space="0"/>
            </w:tcBorders>
            <w:vAlign w:val="center"/>
          </w:tcPr>
          <w:p>
            <w:pPr>
              <w:spacing w:line="400" w:lineRule="exact"/>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rPr>
              <w:t xml:space="preserve">        </w:t>
            </w:r>
            <w:r>
              <w:rPr>
                <w:rFonts w:hint="eastAsia" w:ascii="宋体" w:hAnsi="宋体" w:eastAsia="宋体" w:cs="宋体"/>
                <w:b/>
                <w:bCs/>
                <w:color w:val="auto"/>
                <w:sz w:val="22"/>
                <w:szCs w:val="22"/>
                <w:highlight w:val="none"/>
                <w:u w:val="single"/>
              </w:rPr>
              <w:t xml:space="preserve">          </w:t>
            </w:r>
            <w:r>
              <w:rPr>
                <w:rFonts w:hint="eastAsia" w:ascii="宋体" w:hAnsi="宋体" w:eastAsia="宋体" w:cs="宋体"/>
                <w:color w:val="auto"/>
                <w:sz w:val="22"/>
                <w:szCs w:val="22"/>
                <w:highlight w:val="none"/>
                <w:lang w:val="en-US" w:eastAsia="zh-CN"/>
              </w:rPr>
              <w:t>%</w:t>
            </w:r>
          </w:p>
        </w:tc>
        <w:tc>
          <w:tcPr>
            <w:tcW w:w="3823" w:type="dxa"/>
            <w:tcBorders>
              <w:top w:val="single" w:color="auto" w:sz="6" w:space="0"/>
              <w:left w:val="single" w:color="auto" w:sz="6" w:space="0"/>
              <w:bottom w:val="single" w:color="auto" w:sz="2" w:space="0"/>
              <w:right w:val="single" w:color="auto" w:sz="6" w:space="0"/>
            </w:tcBorders>
            <w:vAlign w:val="center"/>
          </w:tcPr>
          <w:p>
            <w:pPr>
              <w:spacing w:line="400" w:lineRule="exact"/>
              <w:jc w:val="center"/>
              <w:rPr>
                <w:rFonts w:hint="eastAsia" w:ascii="宋体" w:hAnsi="宋体" w:eastAsia="宋体" w:cs="宋体"/>
                <w:b w:val="0"/>
                <w:bCs w:val="0"/>
                <w:color w:val="auto"/>
                <w:sz w:val="22"/>
                <w:szCs w:val="22"/>
                <w:highlight w:val="none"/>
                <w:u w:val="single"/>
              </w:rPr>
            </w:pPr>
            <w:r>
              <w:rPr>
                <w:rFonts w:hint="eastAsia" w:ascii="宋体" w:hAnsi="宋体" w:eastAsia="宋体" w:cs="宋体"/>
                <w:b w:val="0"/>
                <w:bCs w:val="0"/>
                <w:color w:val="auto"/>
                <w:sz w:val="22"/>
                <w:szCs w:val="22"/>
                <w:highlight w:val="none"/>
              </w:rPr>
              <w:t>计：</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 xml:space="preserve"> BP</w:t>
            </w:r>
          </w:p>
        </w:tc>
      </w:tr>
    </w:tbl>
    <w:p>
      <w:pPr>
        <w:ind w:left="620" w:hanging="649" w:hangingChars="294"/>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w:t>
      </w:r>
    </w:p>
    <w:p>
      <w:pPr>
        <w:tabs>
          <w:tab w:val="left" w:pos="-180"/>
          <w:tab w:val="left" w:pos="180"/>
          <w:tab w:val="left" w:pos="360"/>
        </w:tabs>
        <w:spacing w:line="360" w:lineRule="auto"/>
        <w:ind w:left="422" w:leftChars="38" w:hanging="342" w:hangingChars="155"/>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w:t>
      </w:r>
      <w:r>
        <w:rPr>
          <w:rFonts w:hint="eastAsia" w:ascii="宋体" w:hAnsi="宋体" w:eastAsia="宋体" w:cs="宋体"/>
          <w:b/>
          <w:bCs w:val="0"/>
          <w:color w:val="auto"/>
          <w:sz w:val="22"/>
          <w:szCs w:val="22"/>
          <w:highlight w:val="none"/>
          <w:u w:val="single"/>
        </w:rPr>
        <w:t>▲本项目要求投标供应商以承销费率进行报价，承销费率在合同执行过程中是不变的（</w:t>
      </w:r>
      <w:r>
        <w:rPr>
          <w:rFonts w:hint="eastAsia" w:ascii="宋体" w:hAnsi="宋体" w:eastAsia="宋体" w:cs="宋体"/>
          <w:b/>
          <w:bCs w:val="0"/>
          <w:color w:val="auto"/>
          <w:sz w:val="22"/>
          <w:szCs w:val="22"/>
          <w:highlight w:val="none"/>
          <w:u w:val="single" w:color="auto"/>
        </w:rPr>
        <w:t>投标报价（</w:t>
      </w:r>
      <w:r>
        <w:rPr>
          <w:rFonts w:hint="eastAsia" w:ascii="宋体" w:hAnsi="宋体" w:eastAsia="宋体" w:cs="宋体"/>
          <w:b/>
          <w:bCs w:val="0"/>
          <w:color w:val="auto"/>
          <w:sz w:val="22"/>
          <w:szCs w:val="22"/>
          <w:highlight w:val="none"/>
          <w:u w:val="single" w:color="auto"/>
          <w:lang w:val="en-US" w:eastAsia="zh-CN"/>
        </w:rPr>
        <w:t>年</w:t>
      </w:r>
      <w:r>
        <w:rPr>
          <w:rFonts w:hint="eastAsia" w:ascii="宋体" w:hAnsi="宋体" w:eastAsia="宋体" w:cs="宋体"/>
          <w:b/>
          <w:bCs w:val="0"/>
          <w:color w:val="auto"/>
          <w:sz w:val="22"/>
          <w:szCs w:val="22"/>
          <w:highlight w:val="none"/>
          <w:u w:val="single" w:color="auto"/>
        </w:rPr>
        <w:t>承销费率）</w:t>
      </w:r>
      <w:r>
        <w:rPr>
          <w:rFonts w:hint="eastAsia" w:ascii="宋体" w:hAnsi="宋体" w:eastAsia="宋体" w:cs="宋体"/>
          <w:b/>
          <w:bCs w:val="0"/>
          <w:color w:val="auto"/>
          <w:sz w:val="22"/>
          <w:szCs w:val="22"/>
          <w:highlight w:val="none"/>
          <w:u w:val="single"/>
          <w:lang w:val="en-US" w:eastAsia="zh-CN"/>
        </w:rPr>
        <w:t>最多</w:t>
      </w:r>
      <w:r>
        <w:rPr>
          <w:rFonts w:hint="eastAsia" w:ascii="宋体" w:hAnsi="宋体" w:eastAsia="宋体" w:cs="宋体"/>
          <w:b/>
          <w:bCs w:val="0"/>
          <w:color w:val="auto"/>
          <w:sz w:val="22"/>
          <w:szCs w:val="22"/>
          <w:highlight w:val="none"/>
          <w:u w:val="single"/>
        </w:rPr>
        <w:t>保留</w:t>
      </w:r>
      <w:r>
        <w:rPr>
          <w:rFonts w:hint="eastAsia" w:ascii="宋体" w:hAnsi="宋体" w:eastAsia="宋体" w:cs="宋体"/>
          <w:b/>
          <w:bCs w:val="0"/>
          <w:color w:val="auto"/>
          <w:sz w:val="22"/>
          <w:szCs w:val="22"/>
          <w:highlight w:val="none"/>
          <w:u w:val="single"/>
          <w:lang w:val="en-US" w:eastAsia="zh-CN"/>
        </w:rPr>
        <w:t>三</w:t>
      </w:r>
      <w:r>
        <w:rPr>
          <w:rFonts w:hint="eastAsia" w:ascii="宋体" w:hAnsi="宋体" w:eastAsia="宋体" w:cs="宋体"/>
          <w:b/>
          <w:bCs w:val="0"/>
          <w:color w:val="auto"/>
          <w:sz w:val="22"/>
          <w:szCs w:val="22"/>
          <w:highlight w:val="none"/>
          <w:u w:val="single"/>
        </w:rPr>
        <w:t>位小数）</w:t>
      </w:r>
      <w:r>
        <w:rPr>
          <w:rFonts w:hint="eastAsia" w:ascii="宋体" w:hAnsi="宋体" w:eastAsia="宋体" w:cs="宋体"/>
          <w:b/>
          <w:bCs w:val="0"/>
          <w:color w:val="auto"/>
          <w:sz w:val="22"/>
          <w:szCs w:val="22"/>
          <w:highlight w:val="none"/>
        </w:rPr>
        <w:t>。</w:t>
      </w:r>
    </w:p>
    <w:p>
      <w:pPr>
        <w:tabs>
          <w:tab w:val="left" w:pos="-180"/>
          <w:tab w:val="left" w:pos="180"/>
          <w:tab w:val="left" w:pos="360"/>
        </w:tabs>
        <w:spacing w:line="360" w:lineRule="auto"/>
        <w:ind w:left="422" w:leftChars="38" w:hanging="342" w:hangingChars="155"/>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w:t>
      </w:r>
      <w:r>
        <w:rPr>
          <w:rFonts w:hint="eastAsia" w:ascii="宋体" w:hAnsi="宋体" w:eastAsia="宋体" w:cs="宋体"/>
          <w:color w:val="auto"/>
          <w:sz w:val="22"/>
          <w:szCs w:val="22"/>
          <w:highlight w:val="none"/>
        </w:rPr>
        <w:t xml:space="preserve"> </w:t>
      </w:r>
      <w:r>
        <w:rPr>
          <w:rFonts w:hint="eastAsia" w:ascii="宋体" w:hAnsi="宋体" w:eastAsia="宋体" w:cs="宋体"/>
          <w:b/>
          <w:bCs w:val="0"/>
          <w:color w:val="auto"/>
          <w:sz w:val="22"/>
          <w:szCs w:val="22"/>
          <w:highlight w:val="none"/>
        </w:rPr>
        <w:t>投标报价为供应商完成本次发行任务的一切费用，包括但不限于发债准备工作、制作申报材料并上报、与主管部门的沟通、完成债券注册、发行与销售、后期的支持与服务等以及因此产生的税费、服务费、利润及完成合同所需的所有除不可抗力之外的风险、责任等全部费用。</w:t>
      </w:r>
    </w:p>
    <w:p>
      <w:pPr>
        <w:tabs>
          <w:tab w:val="left" w:pos="540"/>
        </w:tabs>
        <w:overflowPunct w:val="0"/>
        <w:spacing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w:t>
      </w:r>
      <w:r>
        <w:rPr>
          <w:rFonts w:hint="eastAsia" w:ascii="宋体" w:hAnsi="宋体" w:eastAsia="宋体" w:cs="宋体"/>
          <w:b/>
          <w:bCs w:val="0"/>
          <w:color w:val="auto"/>
          <w:sz w:val="22"/>
          <w:szCs w:val="22"/>
          <w:highlight w:val="none"/>
          <w:u w:val="single"/>
        </w:rPr>
        <w:t>▲</w:t>
      </w:r>
      <w:r>
        <w:rPr>
          <w:rFonts w:hint="eastAsia" w:ascii="宋体" w:hAnsi="宋体" w:eastAsia="宋体" w:cs="宋体"/>
          <w:b/>
          <w:bCs w:val="0"/>
          <w:color w:val="auto"/>
          <w:sz w:val="22"/>
          <w:szCs w:val="22"/>
          <w:highlight w:val="none"/>
          <w:u w:val="single"/>
          <w:lang w:val="en-US" w:eastAsia="zh-CN"/>
        </w:rPr>
        <w:t>年</w:t>
      </w:r>
      <w:r>
        <w:rPr>
          <w:rFonts w:hint="eastAsia" w:ascii="宋体" w:hAnsi="宋体" w:eastAsia="宋体" w:cs="宋体"/>
          <w:b/>
          <w:bCs w:val="0"/>
          <w:color w:val="auto"/>
          <w:sz w:val="22"/>
          <w:szCs w:val="22"/>
          <w:highlight w:val="none"/>
          <w:u w:val="single" w:color="auto"/>
        </w:rPr>
        <w:t>承销费率最高限价为</w:t>
      </w:r>
      <w:r>
        <w:rPr>
          <w:rFonts w:hint="eastAsia" w:ascii="宋体" w:hAnsi="宋体" w:eastAsia="宋体" w:cs="宋体"/>
          <w:b/>
          <w:bCs w:val="0"/>
          <w:color w:val="auto"/>
          <w:sz w:val="22"/>
          <w:szCs w:val="22"/>
          <w:highlight w:val="none"/>
          <w:u w:val="single" w:color="auto"/>
          <w:lang w:val="en-US" w:eastAsia="zh-CN"/>
        </w:rPr>
        <w:t>0.068%</w:t>
      </w:r>
      <w:r>
        <w:rPr>
          <w:rFonts w:hint="eastAsia" w:ascii="宋体" w:hAnsi="宋体" w:eastAsia="宋体" w:cs="宋体"/>
          <w:b/>
          <w:bCs w:val="0"/>
          <w:color w:val="auto"/>
          <w:sz w:val="22"/>
          <w:szCs w:val="22"/>
          <w:highlight w:val="none"/>
          <w:u w:val="single" w:color="auto"/>
        </w:rPr>
        <w:t>（即</w:t>
      </w:r>
      <w:r>
        <w:rPr>
          <w:rFonts w:hint="eastAsia" w:ascii="宋体" w:hAnsi="宋体" w:eastAsia="宋体" w:cs="宋体"/>
          <w:b/>
          <w:bCs w:val="0"/>
          <w:color w:val="auto"/>
          <w:sz w:val="22"/>
          <w:szCs w:val="22"/>
          <w:highlight w:val="none"/>
          <w:u w:val="single" w:color="auto"/>
          <w:lang w:val="en-US" w:eastAsia="zh-CN"/>
        </w:rPr>
        <w:t>6.8BP</w:t>
      </w:r>
      <w:r>
        <w:rPr>
          <w:rFonts w:hint="eastAsia" w:ascii="宋体" w:hAnsi="宋体" w:eastAsia="宋体" w:cs="宋体"/>
          <w:b/>
          <w:bCs w:val="0"/>
          <w:color w:val="auto"/>
          <w:sz w:val="22"/>
          <w:szCs w:val="22"/>
          <w:highlight w:val="none"/>
          <w:u w:val="single" w:color="auto"/>
        </w:rPr>
        <w:t>）</w:t>
      </w:r>
      <w:r>
        <w:rPr>
          <w:rFonts w:hint="eastAsia" w:ascii="宋体" w:hAnsi="宋体" w:eastAsia="宋体" w:cs="宋体"/>
          <w:b/>
          <w:bCs w:val="0"/>
          <w:color w:val="auto"/>
          <w:sz w:val="22"/>
          <w:szCs w:val="22"/>
          <w:highlight w:val="none"/>
          <w:u w:val="single"/>
        </w:rPr>
        <w:t>，超过最高限价的，作无效标处理</w:t>
      </w:r>
      <w:r>
        <w:rPr>
          <w:rFonts w:hint="eastAsia" w:ascii="宋体" w:hAnsi="宋体" w:eastAsia="宋体" w:cs="宋体"/>
          <w:b/>
          <w:bCs w:val="0"/>
          <w:color w:val="auto"/>
          <w:sz w:val="22"/>
          <w:szCs w:val="22"/>
          <w:highlight w:val="none"/>
          <w:u w:val="none"/>
        </w:rPr>
        <w:t xml:space="preserve">。  </w:t>
      </w:r>
    </w:p>
    <w:p>
      <w:pPr>
        <w:tabs>
          <w:tab w:val="left" w:pos="540"/>
        </w:tabs>
        <w:overflowPunct w:val="0"/>
        <w:spacing w:line="360" w:lineRule="auto"/>
        <w:rPr>
          <w:rFonts w:hint="eastAsia" w:ascii="宋体" w:hAnsi="宋体" w:eastAsia="宋体" w:cs="宋体"/>
          <w:b/>
          <w:bCs/>
          <w:i/>
          <w:color w:val="auto"/>
          <w:sz w:val="22"/>
          <w:szCs w:val="22"/>
          <w:highlight w:val="none"/>
          <w:u w:val="single"/>
        </w:rPr>
      </w:pPr>
      <w:r>
        <w:rPr>
          <w:rFonts w:hint="eastAsia" w:ascii="宋体" w:hAnsi="宋体" w:eastAsia="宋体" w:cs="宋体"/>
          <w:b/>
          <w:color w:val="auto"/>
          <w:sz w:val="22"/>
          <w:szCs w:val="22"/>
          <w:highlight w:val="none"/>
          <w:lang w:val="en-US" w:eastAsia="zh-CN"/>
        </w:rPr>
        <w:t>4.</w:t>
      </w:r>
      <w:r>
        <w:rPr>
          <w:rFonts w:hint="eastAsia" w:ascii="宋体" w:hAnsi="宋体" w:eastAsia="宋体" w:cs="宋体"/>
          <w:b/>
          <w:bCs/>
          <w:color w:val="auto"/>
          <w:sz w:val="22"/>
          <w:szCs w:val="22"/>
          <w:highlight w:val="none"/>
          <w:u w:val="single"/>
        </w:rPr>
        <w:t>▲此表不得自行增减内容，不提供此表格将被视为没有实质性响应采购文件</w:t>
      </w:r>
      <w:r>
        <w:rPr>
          <w:rFonts w:hint="eastAsia" w:ascii="宋体" w:hAnsi="宋体" w:eastAsia="宋体" w:cs="宋体"/>
          <w:b/>
          <w:bCs w:val="0"/>
          <w:color w:val="auto"/>
          <w:sz w:val="22"/>
          <w:szCs w:val="22"/>
          <w:highlight w:val="none"/>
          <w:u w:val="single"/>
        </w:rPr>
        <w:t>，</w:t>
      </w:r>
      <w:r>
        <w:rPr>
          <w:rFonts w:hint="eastAsia" w:ascii="宋体" w:hAnsi="宋体" w:eastAsia="宋体" w:cs="宋体"/>
          <w:b/>
          <w:bCs/>
          <w:color w:val="auto"/>
          <w:sz w:val="22"/>
          <w:szCs w:val="22"/>
          <w:highlight w:val="none"/>
          <w:u w:val="single"/>
        </w:rPr>
        <w:t>作无效标处理。</w:t>
      </w:r>
    </w:p>
    <w:p>
      <w:pPr>
        <w:tabs>
          <w:tab w:val="left" w:pos="540"/>
        </w:tabs>
        <w:overflowPunct w:val="0"/>
        <w:spacing w:line="460" w:lineRule="exact"/>
        <w:rPr>
          <w:rFonts w:hint="eastAsia" w:ascii="宋体" w:hAnsi="宋体" w:eastAsia="宋体" w:cs="宋体"/>
          <w:b/>
          <w:bCs/>
          <w:i/>
          <w:color w:val="auto"/>
          <w:sz w:val="22"/>
          <w:szCs w:val="22"/>
          <w:highlight w:val="none"/>
          <w:u w:val="single"/>
        </w:rPr>
      </w:pPr>
    </w:p>
    <w:p>
      <w:pPr>
        <w:pStyle w:val="8"/>
        <w:tabs>
          <w:tab w:val="left" w:pos="-180"/>
          <w:tab w:val="left" w:pos="180"/>
          <w:tab w:val="left" w:pos="360"/>
        </w:tabs>
        <w:ind w:firstLine="210"/>
        <w:rPr>
          <w:rFonts w:hint="eastAsia" w:ascii="宋体" w:hAnsi="宋体" w:eastAsia="宋体" w:cs="宋体"/>
          <w:color w:val="auto"/>
          <w:sz w:val="22"/>
          <w:szCs w:val="22"/>
          <w:highlight w:val="none"/>
        </w:rPr>
      </w:pPr>
    </w:p>
    <w:p>
      <w:pPr>
        <w:pStyle w:val="8"/>
        <w:tabs>
          <w:tab w:val="left" w:pos="-180"/>
          <w:tab w:val="left" w:pos="180"/>
          <w:tab w:val="left" w:pos="360"/>
        </w:tabs>
        <w:ind w:firstLine="210"/>
        <w:rPr>
          <w:rFonts w:hint="eastAsia" w:ascii="宋体" w:hAnsi="宋体" w:eastAsia="宋体" w:cs="宋体"/>
          <w:color w:val="auto"/>
          <w:sz w:val="22"/>
          <w:szCs w:val="22"/>
          <w:highlight w:val="none"/>
        </w:rPr>
      </w:pPr>
    </w:p>
    <w:p>
      <w:pPr>
        <w:rPr>
          <w:rFonts w:hint="eastAsia" w:ascii="宋体" w:hAnsi="宋体" w:eastAsia="宋体" w:cs="宋体"/>
          <w:color w:val="auto"/>
          <w:sz w:val="22"/>
          <w:szCs w:val="22"/>
          <w:highlight w:val="none"/>
        </w:rPr>
      </w:pPr>
    </w:p>
    <w:p>
      <w:pPr>
        <w:pStyle w:val="16"/>
        <w:spacing w:line="40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投标供应商全称（</w:t>
      </w:r>
      <w:r>
        <w:rPr>
          <w:rFonts w:hint="eastAsia" w:ascii="宋体" w:hAnsi="宋体" w:eastAsia="宋体" w:cs="宋体"/>
          <w:color w:val="auto"/>
          <w:sz w:val="22"/>
          <w:szCs w:val="22"/>
          <w:highlight w:val="none"/>
          <w:lang w:eastAsia="zh-CN"/>
        </w:rPr>
        <w:t>盖章</w:t>
      </w:r>
      <w:r>
        <w:rPr>
          <w:rFonts w:hint="eastAsia" w:ascii="宋体" w:hAnsi="宋体" w:eastAsia="宋体" w:cs="宋体"/>
          <w:color w:val="auto"/>
          <w:sz w:val="22"/>
          <w:szCs w:val="22"/>
          <w:highlight w:val="none"/>
        </w:rPr>
        <w:t>）：</w:t>
      </w:r>
    </w:p>
    <w:p>
      <w:pPr>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法定代表人（或单位负责人）或授权代表（签字或盖章）：</w:t>
      </w:r>
    </w:p>
    <w:p>
      <w:pPr>
        <w:spacing w:line="5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rPr>
          <w:rFonts w:hint="eastAsia" w:ascii="宋体" w:hAnsi="宋体" w:eastAsia="宋体" w:cs="宋体"/>
          <w:color w:val="auto"/>
          <w:sz w:val="22"/>
          <w:szCs w:val="22"/>
          <w:highlight w:val="none"/>
        </w:rPr>
      </w:pPr>
    </w:p>
    <w:p>
      <w:pPr>
        <w:ind w:right="-21" w:rightChars="-10"/>
        <w:rPr>
          <w:rFonts w:hint="eastAsia" w:ascii="宋体" w:hAnsi="宋体" w:eastAsia="宋体" w:cs="宋体"/>
          <w:color w:val="auto"/>
          <w:sz w:val="22"/>
          <w:szCs w:val="22"/>
          <w:highlight w:val="none"/>
        </w:rPr>
        <w:sectPr>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pgNumType w:fmt="decimal"/>
          <w:cols w:space="720" w:num="1"/>
          <w:docGrid w:linePitch="312" w:charSpace="0"/>
        </w:sectPr>
      </w:pPr>
      <w:r>
        <w:rPr>
          <w:rFonts w:hint="eastAsia" w:ascii="宋体" w:hAnsi="宋体" w:eastAsia="宋体" w:cs="宋体"/>
          <w:color w:val="auto"/>
          <w:sz w:val="22"/>
          <w:szCs w:val="22"/>
          <w:highlight w:val="none"/>
        </w:rPr>
        <w:t xml:space="preserve"> </w:t>
      </w:r>
    </w:p>
    <w:p>
      <w:pPr>
        <w:ind w:right="-21" w:rightChars="-10"/>
        <w:rPr>
          <w:rFonts w:hint="eastAsia" w:ascii="宋体" w:hAnsi="宋体" w:eastAsia="宋体" w:cs="宋体"/>
          <w:b/>
          <w:bCs/>
          <w:color w:val="auto"/>
          <w:sz w:val="22"/>
          <w:szCs w:val="22"/>
          <w:highlight w:val="none"/>
        </w:rPr>
      </w:pPr>
    </w:p>
    <w:p>
      <w:pPr>
        <w:ind w:right="-21" w:rightChars="-1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附件三</w:t>
      </w:r>
    </w:p>
    <w:p>
      <w:pPr>
        <w:spacing w:line="40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 标 函</w:t>
      </w:r>
    </w:p>
    <w:p>
      <w:pPr>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pacing w:val="-2"/>
          <w:sz w:val="22"/>
          <w:szCs w:val="22"/>
          <w:highlight w:val="none"/>
          <w:u w:val="single"/>
        </w:rPr>
        <w:t>温州市铁路与轨道交通投资集团有限公司</w:t>
      </w:r>
      <w:r>
        <w:rPr>
          <w:rFonts w:hint="eastAsia" w:ascii="宋体" w:hAnsi="宋体" w:eastAsia="宋体" w:cs="宋体"/>
          <w:color w:val="auto"/>
          <w:sz w:val="22"/>
          <w:szCs w:val="22"/>
          <w:highlight w:val="none"/>
        </w:rPr>
        <w:t>：</w:t>
      </w:r>
    </w:p>
    <w:p>
      <w:pPr>
        <w:spacing w:line="400" w:lineRule="exact"/>
        <w:ind w:firstLine="552" w:firstLineChars="250"/>
        <w:rPr>
          <w:rFonts w:hint="eastAsia" w:ascii="宋体" w:hAnsi="宋体" w:eastAsia="宋体" w:cs="宋体"/>
          <w:b/>
          <w:bCs/>
          <w:color w:val="auto"/>
          <w:sz w:val="22"/>
          <w:szCs w:val="22"/>
          <w:highlight w:val="none"/>
        </w:rPr>
      </w:pPr>
    </w:p>
    <w:p>
      <w:pPr>
        <w:overflowPunct w:val="0"/>
        <w:spacing w:line="3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（投标供应商全称）正式授权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（授权代表姓名）为授权代表，参加贵方组织的</w:t>
      </w:r>
      <w:r>
        <w:rPr>
          <w:rFonts w:hint="eastAsia" w:ascii="宋体" w:hAnsi="宋体" w:eastAsia="宋体" w:cs="宋体"/>
          <w:color w:val="auto"/>
          <w:sz w:val="22"/>
          <w:szCs w:val="22"/>
          <w:highlight w:val="none"/>
          <w:u w:val="single"/>
        </w:rPr>
        <w:t xml:space="preserve">   </w:t>
      </w:r>
      <w:r>
        <w:rPr>
          <w:rFonts w:hint="eastAsia" w:ascii="宋体" w:hAnsi="宋体" w:eastAsia="宋体" w:cs="宋体"/>
          <w:b/>
          <w:bCs/>
          <w:i/>
          <w:iCs/>
          <w:color w:val="auto"/>
          <w:sz w:val="22"/>
          <w:szCs w:val="22"/>
          <w:highlight w:val="none"/>
          <w:u w:val="single"/>
        </w:rPr>
        <w:t xml:space="preserve">（采购项目名称） </w:t>
      </w:r>
      <w:r>
        <w:rPr>
          <w:rFonts w:hint="eastAsia" w:ascii="宋体" w:hAnsi="宋体" w:eastAsia="宋体" w:cs="宋体"/>
          <w:color w:val="auto"/>
          <w:sz w:val="22"/>
          <w:szCs w:val="22"/>
          <w:highlight w:val="none"/>
          <w:u w:val="single"/>
        </w:rPr>
        <w:t>（</w:t>
      </w:r>
      <w:r>
        <w:rPr>
          <w:rFonts w:hint="eastAsia" w:ascii="宋体" w:hAnsi="宋体" w:eastAsia="宋体" w:cs="宋体"/>
          <w:b/>
          <w:bCs/>
          <w:i/>
          <w:iCs/>
          <w:color w:val="auto"/>
          <w:sz w:val="22"/>
          <w:szCs w:val="22"/>
          <w:highlight w:val="none"/>
          <w:u w:val="single"/>
        </w:rPr>
        <w:t xml:space="preserve">项目编号：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采购的有关活动，并对</w:t>
      </w:r>
      <w:r>
        <w:rPr>
          <w:rFonts w:hint="eastAsia" w:ascii="宋体" w:hAnsi="宋体" w:eastAsia="宋体" w:cs="宋体"/>
          <w:color w:val="auto"/>
          <w:sz w:val="22"/>
          <w:szCs w:val="22"/>
          <w:highlight w:val="none"/>
          <w:lang w:val="en-US" w:eastAsia="zh-CN"/>
        </w:rPr>
        <w:t>该项目</w:t>
      </w:r>
      <w:r>
        <w:rPr>
          <w:rFonts w:hint="eastAsia" w:ascii="宋体" w:hAnsi="宋体" w:eastAsia="宋体" w:cs="宋体"/>
          <w:color w:val="auto"/>
          <w:sz w:val="22"/>
          <w:szCs w:val="22"/>
          <w:highlight w:val="none"/>
        </w:rPr>
        <w:t>进行投标。</w:t>
      </w:r>
    </w:p>
    <w:p>
      <w:pPr>
        <w:pStyle w:val="10"/>
        <w:spacing w:line="40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在此提交的</w:t>
      </w:r>
      <w:r>
        <w:rPr>
          <w:rFonts w:hint="eastAsia" w:ascii="宋体" w:hAnsi="宋体" w:eastAsia="宋体" w:cs="宋体"/>
          <w:color w:val="auto"/>
          <w:sz w:val="22"/>
          <w:highlight w:val="none"/>
          <w:lang w:eastAsia="zh-CN"/>
        </w:rPr>
        <w:t>投标文件</w:t>
      </w:r>
      <w:r>
        <w:rPr>
          <w:rFonts w:hint="eastAsia" w:ascii="宋体" w:hAnsi="宋体" w:eastAsia="宋体" w:cs="宋体"/>
          <w:color w:val="auto"/>
          <w:sz w:val="22"/>
          <w:highlight w:val="none"/>
        </w:rPr>
        <w:t>中，包括如下内容：</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（—）按《投标供应商须知前附表》要求编制的</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商务技术文件。</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（二）按《投标供应商须知前附表》要求编制的</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报价文件。</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（三）按《投标供应商须知前附表》要求编制的</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资格文件。</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我方己完全明白采购文件的所有条款要求，并重申以下几点：</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（一）本</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的有效期按《投标供应商须知前附表》规定要求，如中标，有效期将延至合同终止日为止；</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（二）我方已详细研究了采购文件的所有内容包括修改书（如有）和所有已提供的参考资料以及有关附件，我方完全理解并同意放弃在此方面提出含糊意见或误解的一切权力；</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（三）我方明白并愿意在规定的开标时间之后，我方在投标有效期内撤回投标，</w:t>
      </w:r>
      <w:r>
        <w:rPr>
          <w:rFonts w:hint="eastAsia" w:ascii="宋体" w:hAnsi="宋体" w:eastAsia="宋体" w:cs="宋体"/>
          <w:color w:val="auto"/>
          <w:sz w:val="22"/>
          <w:highlight w:val="none"/>
        </w:rPr>
        <w:t>承诺按采购预算金额的2%赔偿对</w:t>
      </w:r>
      <w:r>
        <w:rPr>
          <w:rFonts w:hint="eastAsia" w:ascii="宋体" w:hAnsi="宋体" w:eastAsia="宋体" w:cs="宋体"/>
          <w:color w:val="auto"/>
          <w:sz w:val="22"/>
          <w:highlight w:val="none"/>
          <w:lang w:val="en-US" w:eastAsia="zh-CN"/>
        </w:rPr>
        <w:t>本项目</w:t>
      </w:r>
      <w:r>
        <w:rPr>
          <w:rFonts w:hint="eastAsia" w:ascii="宋体" w:hAnsi="宋体" w:eastAsia="宋体" w:cs="宋体"/>
          <w:color w:val="auto"/>
          <w:sz w:val="22"/>
          <w:highlight w:val="none"/>
        </w:rPr>
        <w:t>采购组织机构造成的损失</w:t>
      </w:r>
      <w:r>
        <w:rPr>
          <w:rFonts w:hint="eastAsia" w:ascii="宋体" w:hAnsi="宋体" w:eastAsia="宋体" w:cs="宋体"/>
          <w:color w:val="auto"/>
          <w:sz w:val="22"/>
          <w:szCs w:val="22"/>
          <w:highlight w:val="none"/>
        </w:rPr>
        <w:t>；</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（四）我方同意提供按照贵方可能要求的与投标有关的一切数据或资料；</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（五）我方理解贵方不一定接受最低报价。</w:t>
      </w:r>
    </w:p>
    <w:p>
      <w:pPr>
        <w:spacing w:line="400" w:lineRule="exact"/>
        <w:ind w:left="1019" w:leftChars="171" w:hanging="660" w:hanging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（六）我方如果中标，将保证履行采购文件以及采购文件修改书（如有）中的全部责任和义务，按质、按量、按期完成合同文件中的全部任务。</w:t>
      </w:r>
    </w:p>
    <w:p>
      <w:pPr>
        <w:spacing w:line="400" w:lineRule="exact"/>
        <w:ind w:left="1019" w:leftChars="171" w:hanging="660" w:hangingChars="3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七</w:t>
      </w:r>
      <w:r>
        <w:rPr>
          <w:rFonts w:hint="eastAsia" w:ascii="宋体" w:hAnsi="宋体" w:eastAsia="宋体" w:cs="宋体"/>
          <w:color w:val="auto"/>
          <w:sz w:val="22"/>
          <w:szCs w:val="22"/>
          <w:highlight w:val="none"/>
          <w:lang w:eastAsia="zh-CN"/>
        </w:rPr>
        <w:t>）中标或者成交后，按采购文件规定的采购代理服务费标准，承诺在</w:t>
      </w:r>
      <w:r>
        <w:rPr>
          <w:rFonts w:hint="eastAsia" w:ascii="宋体" w:hAnsi="宋体" w:eastAsia="宋体" w:cs="宋体"/>
          <w:color w:val="auto"/>
          <w:sz w:val="22"/>
          <w:szCs w:val="22"/>
          <w:highlight w:val="none"/>
          <w:lang w:val="en-US" w:eastAsia="zh-CN"/>
        </w:rPr>
        <w:t>领取中标通知书</w:t>
      </w:r>
      <w:r>
        <w:rPr>
          <w:rFonts w:hint="eastAsia" w:ascii="宋体" w:hAnsi="宋体" w:eastAsia="宋体" w:cs="宋体"/>
          <w:color w:val="auto"/>
          <w:sz w:val="22"/>
          <w:szCs w:val="22"/>
          <w:highlight w:val="none"/>
          <w:lang w:eastAsia="zh-CN"/>
        </w:rPr>
        <w:t>前向采购代理机构支付采购代理服务费。</w:t>
      </w:r>
    </w:p>
    <w:p>
      <w:pPr>
        <w:spacing w:line="400" w:lineRule="exact"/>
        <w:ind w:firstLine="435"/>
        <w:rPr>
          <w:rFonts w:hint="eastAsia" w:ascii="宋体" w:hAnsi="宋体" w:eastAsia="宋体" w:cs="宋体"/>
          <w:color w:val="auto"/>
          <w:sz w:val="22"/>
          <w:szCs w:val="22"/>
          <w:highlight w:val="none"/>
        </w:rPr>
      </w:pPr>
    </w:p>
    <w:p>
      <w:pPr>
        <w:spacing w:line="400" w:lineRule="exact"/>
        <w:ind w:firstLine="435"/>
        <w:rPr>
          <w:rFonts w:hint="eastAsia" w:ascii="宋体" w:hAnsi="宋体" w:eastAsia="宋体" w:cs="宋体"/>
          <w:color w:val="auto"/>
          <w:sz w:val="22"/>
          <w:szCs w:val="22"/>
          <w:highlight w:val="none"/>
          <w:u w:val="single"/>
        </w:rPr>
      </w:pPr>
    </w:p>
    <w:p>
      <w:pPr>
        <w:pStyle w:val="16"/>
        <w:spacing w:line="400" w:lineRule="atLeast"/>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投标供应商</w:t>
      </w:r>
      <w:r>
        <w:rPr>
          <w:rFonts w:hint="eastAsia" w:ascii="宋体" w:hAnsi="宋体" w:eastAsia="宋体" w:cs="宋体"/>
          <w:color w:val="auto"/>
          <w:sz w:val="22"/>
          <w:highlight w:val="none"/>
          <w:lang w:val="en-US" w:eastAsia="zh-CN"/>
        </w:rPr>
        <w:t>全</w:t>
      </w:r>
      <w:r>
        <w:rPr>
          <w:rFonts w:hint="eastAsia" w:ascii="宋体" w:hAnsi="宋体" w:eastAsia="宋体" w:cs="宋体"/>
          <w:color w:val="auto"/>
          <w:sz w:val="22"/>
          <w:highlight w:val="none"/>
        </w:rPr>
        <w:t>称（</w:t>
      </w:r>
      <w:r>
        <w:rPr>
          <w:rFonts w:hint="eastAsia" w:ascii="宋体" w:hAnsi="宋体" w:eastAsia="宋体" w:cs="宋体"/>
          <w:color w:val="auto"/>
          <w:sz w:val="22"/>
          <w:highlight w:val="none"/>
          <w:lang w:eastAsia="zh-CN"/>
        </w:rPr>
        <w:t>盖章</w:t>
      </w:r>
      <w:r>
        <w:rPr>
          <w:rFonts w:hint="eastAsia" w:ascii="宋体" w:hAnsi="宋体" w:eastAsia="宋体" w:cs="宋体"/>
          <w:color w:val="auto"/>
          <w:sz w:val="22"/>
          <w:highlight w:val="none"/>
        </w:rPr>
        <w:t>）：</w:t>
      </w:r>
    </w:p>
    <w:p>
      <w:pPr>
        <w:pStyle w:val="16"/>
        <w:spacing w:line="400" w:lineRule="atLeast"/>
        <w:ind w:left="660" w:hanging="660" w:hangingChars="300"/>
        <w:rPr>
          <w:rFonts w:hint="eastAsia" w:ascii="宋体" w:hAnsi="宋体" w:eastAsia="宋体" w:cs="宋体"/>
          <w:color w:val="auto"/>
          <w:sz w:val="22"/>
          <w:highlight w:val="none"/>
        </w:rPr>
      </w:pPr>
      <w:r>
        <w:rPr>
          <w:rFonts w:hint="eastAsia" w:ascii="宋体" w:hAnsi="宋体" w:eastAsia="宋体" w:cs="宋体"/>
          <w:color w:val="auto"/>
          <w:sz w:val="22"/>
          <w:szCs w:val="22"/>
          <w:highlight w:val="none"/>
        </w:rPr>
        <w:t>法定代表人（或单位负责人）或其授权代表（签字或盖章）</w:t>
      </w:r>
      <w:r>
        <w:rPr>
          <w:rFonts w:hint="eastAsia" w:ascii="宋体" w:hAnsi="宋体" w:eastAsia="宋体" w:cs="宋体"/>
          <w:color w:val="auto"/>
          <w:sz w:val="22"/>
          <w:highlight w:val="none"/>
        </w:rPr>
        <w:t>：</w:t>
      </w:r>
    </w:p>
    <w:p>
      <w:pPr>
        <w:spacing w:line="5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overflowPunct w:val="0"/>
        <w:spacing w:line="400" w:lineRule="exact"/>
        <w:ind w:firstLine="440" w:firstLineChars="200"/>
        <w:rPr>
          <w:rFonts w:hint="eastAsia" w:ascii="宋体" w:hAnsi="宋体" w:eastAsia="宋体" w:cs="宋体"/>
          <w:color w:val="auto"/>
          <w:sz w:val="22"/>
          <w:szCs w:val="22"/>
          <w:highlight w:val="none"/>
        </w:rPr>
      </w:pPr>
    </w:p>
    <w:p>
      <w:pPr>
        <w:overflowPunct w:val="0"/>
        <w:spacing w:line="400" w:lineRule="exact"/>
        <w:ind w:firstLine="440" w:firstLineChars="200"/>
        <w:rPr>
          <w:rFonts w:hint="eastAsia" w:ascii="宋体" w:hAnsi="宋体" w:eastAsia="宋体" w:cs="宋体"/>
          <w:color w:val="auto"/>
          <w:sz w:val="22"/>
          <w:szCs w:val="22"/>
          <w:highlight w:val="none"/>
        </w:rPr>
      </w:pPr>
    </w:p>
    <w:p>
      <w:pPr>
        <w:overflowPunct w:val="0"/>
        <w:spacing w:line="380" w:lineRule="exact"/>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p>
    <w:p>
      <w:pPr>
        <w:ind w:right="-21" w:rightChars="-10"/>
        <w:rPr>
          <w:rFonts w:hint="eastAsia" w:ascii="宋体" w:hAnsi="宋体" w:eastAsia="宋体" w:cs="宋体"/>
          <w:b/>
          <w:bCs/>
          <w:color w:val="auto"/>
          <w:sz w:val="22"/>
          <w:szCs w:val="22"/>
          <w:highlight w:val="none"/>
        </w:rPr>
      </w:pPr>
    </w:p>
    <w:p>
      <w:pPr>
        <w:pStyle w:val="8"/>
        <w:ind w:firstLine="221"/>
        <w:rPr>
          <w:rFonts w:hint="eastAsia" w:ascii="宋体" w:hAnsi="宋体" w:eastAsia="宋体" w:cs="宋体"/>
          <w:b/>
          <w:bCs/>
          <w:color w:val="auto"/>
          <w:sz w:val="22"/>
          <w:szCs w:val="22"/>
          <w:highlight w:val="none"/>
        </w:rPr>
      </w:pPr>
    </w:p>
    <w:p>
      <w:pPr>
        <w:ind w:right="-21" w:rightChars="-1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r>
        <w:rPr>
          <w:rFonts w:hint="eastAsia" w:ascii="宋体" w:hAnsi="宋体" w:eastAsia="宋体" w:cs="宋体"/>
          <w:b/>
          <w:bCs/>
          <w:color w:val="auto"/>
          <w:sz w:val="22"/>
          <w:szCs w:val="22"/>
          <w:highlight w:val="none"/>
        </w:rPr>
        <w:t>附件四</w:t>
      </w:r>
    </w:p>
    <w:p>
      <w:pPr>
        <w:spacing w:line="38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（1）法定代表人（或单位负责人）身份证明</w:t>
      </w:r>
    </w:p>
    <w:p>
      <w:pPr>
        <w:autoSpaceDE w:val="0"/>
        <w:autoSpaceDN w:val="0"/>
        <w:adjustRightInd w:val="0"/>
        <w:rPr>
          <w:rFonts w:hint="eastAsia" w:ascii="宋体" w:hAnsi="宋体" w:eastAsia="宋体" w:cs="宋体"/>
          <w:color w:val="auto"/>
          <w:kern w:val="0"/>
          <w:sz w:val="22"/>
          <w:szCs w:val="22"/>
          <w:highlight w:val="none"/>
        </w:rPr>
      </w:pPr>
    </w:p>
    <w:p>
      <w:pPr>
        <w:autoSpaceDE w:val="0"/>
        <w:autoSpaceDN w:val="0"/>
        <w:adjustRightInd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投标供应商</w:t>
      </w:r>
      <w:r>
        <w:rPr>
          <w:rFonts w:hint="eastAsia" w:ascii="宋体" w:hAnsi="宋体" w:eastAsia="宋体" w:cs="宋体"/>
          <w:color w:val="auto"/>
          <w:kern w:val="0"/>
          <w:sz w:val="22"/>
          <w:szCs w:val="22"/>
          <w:highlight w:val="none"/>
          <w:lang w:val="en-US" w:eastAsia="zh-CN"/>
        </w:rPr>
        <w:t>全</w:t>
      </w:r>
      <w:r>
        <w:rPr>
          <w:rFonts w:hint="eastAsia" w:ascii="宋体" w:hAnsi="宋体" w:eastAsia="宋体" w:cs="宋体"/>
          <w:color w:val="auto"/>
          <w:kern w:val="0"/>
          <w:sz w:val="22"/>
          <w:szCs w:val="22"/>
          <w:highlight w:val="none"/>
        </w:rPr>
        <w:t>称：</w:t>
      </w:r>
      <w:r>
        <w:rPr>
          <w:rFonts w:hint="eastAsia" w:ascii="宋体" w:hAnsi="宋体" w:eastAsia="宋体" w:cs="宋体"/>
          <w:color w:val="auto"/>
          <w:kern w:val="0"/>
          <w:sz w:val="22"/>
          <w:szCs w:val="22"/>
          <w:highlight w:val="none"/>
          <w:u w:val="single"/>
        </w:rPr>
        <w:t xml:space="preserve">                            </w:t>
      </w:r>
    </w:p>
    <w:p>
      <w:pPr>
        <w:autoSpaceDE w:val="0"/>
        <w:autoSpaceDN w:val="0"/>
        <w:adjustRightInd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单位性质： </w:t>
      </w:r>
      <w:r>
        <w:rPr>
          <w:rFonts w:hint="eastAsia" w:ascii="宋体" w:hAnsi="宋体" w:eastAsia="宋体" w:cs="宋体"/>
          <w:color w:val="auto"/>
          <w:kern w:val="0"/>
          <w:sz w:val="22"/>
          <w:szCs w:val="22"/>
          <w:highlight w:val="none"/>
          <w:u w:val="single"/>
        </w:rPr>
        <w:t xml:space="preserve">                                 </w:t>
      </w:r>
    </w:p>
    <w:p>
      <w:pPr>
        <w:autoSpaceDE w:val="0"/>
        <w:autoSpaceDN w:val="0"/>
        <w:adjustRightInd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地    址：</w:t>
      </w:r>
      <w:r>
        <w:rPr>
          <w:rFonts w:hint="eastAsia" w:ascii="宋体" w:hAnsi="宋体" w:eastAsia="宋体" w:cs="宋体"/>
          <w:color w:val="auto"/>
          <w:kern w:val="0"/>
          <w:sz w:val="22"/>
          <w:szCs w:val="22"/>
          <w:highlight w:val="none"/>
          <w:u w:val="single"/>
        </w:rPr>
        <w:t xml:space="preserve">                                  </w:t>
      </w:r>
    </w:p>
    <w:p>
      <w:pPr>
        <w:autoSpaceDE w:val="0"/>
        <w:autoSpaceDN w:val="0"/>
        <w:adjustRightInd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成立时间：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年</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月</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日</w:t>
      </w:r>
      <w:r>
        <w:rPr>
          <w:rFonts w:hint="eastAsia" w:ascii="宋体" w:hAnsi="宋体" w:eastAsia="宋体" w:cs="宋体"/>
          <w:color w:val="auto"/>
          <w:kern w:val="0"/>
          <w:sz w:val="22"/>
          <w:szCs w:val="22"/>
          <w:highlight w:val="none"/>
        </w:rPr>
        <w:tab/>
      </w:r>
    </w:p>
    <w:p>
      <w:pPr>
        <w:autoSpaceDE w:val="0"/>
        <w:autoSpaceDN w:val="0"/>
        <w:adjustRightInd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经营期限：</w:t>
      </w:r>
      <w:r>
        <w:rPr>
          <w:rFonts w:hint="eastAsia" w:ascii="宋体" w:hAnsi="宋体" w:eastAsia="宋体" w:cs="宋体"/>
          <w:color w:val="auto"/>
          <w:kern w:val="0"/>
          <w:sz w:val="22"/>
          <w:szCs w:val="22"/>
          <w:highlight w:val="none"/>
          <w:u w:val="single"/>
        </w:rPr>
        <w:t xml:space="preserve">                                   </w:t>
      </w:r>
    </w:p>
    <w:p>
      <w:pPr>
        <w:autoSpaceDE w:val="0"/>
        <w:autoSpaceDN w:val="0"/>
        <w:adjustRightInd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姓    名：</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 xml:space="preserve"> 性别：</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年龄：</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职务：</w:t>
      </w:r>
      <w:r>
        <w:rPr>
          <w:rFonts w:hint="eastAsia" w:ascii="宋体" w:hAnsi="宋体" w:eastAsia="宋体" w:cs="宋体"/>
          <w:color w:val="auto"/>
          <w:kern w:val="0"/>
          <w:sz w:val="22"/>
          <w:szCs w:val="22"/>
          <w:highlight w:val="none"/>
          <w:u w:val="single"/>
        </w:rPr>
        <w:t xml:space="preserve">         </w:t>
      </w:r>
    </w:p>
    <w:p>
      <w:pPr>
        <w:autoSpaceDE w:val="0"/>
        <w:autoSpaceDN w:val="0"/>
        <w:adjustRightInd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系：</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 xml:space="preserve"> （投标供应商</w:t>
      </w:r>
      <w:r>
        <w:rPr>
          <w:rFonts w:hint="eastAsia" w:ascii="宋体" w:hAnsi="宋体" w:eastAsia="宋体" w:cs="宋体"/>
          <w:color w:val="auto"/>
          <w:kern w:val="0"/>
          <w:sz w:val="22"/>
          <w:szCs w:val="22"/>
          <w:highlight w:val="none"/>
          <w:lang w:val="en-US" w:eastAsia="zh-CN"/>
        </w:rPr>
        <w:t>全</w:t>
      </w:r>
      <w:r>
        <w:rPr>
          <w:rFonts w:hint="eastAsia" w:ascii="宋体" w:hAnsi="宋体" w:eastAsia="宋体" w:cs="宋体"/>
          <w:color w:val="auto"/>
          <w:kern w:val="0"/>
          <w:sz w:val="22"/>
          <w:szCs w:val="22"/>
          <w:highlight w:val="none"/>
        </w:rPr>
        <w:t>称）的法定代表人（或单位负责人）</w:t>
      </w:r>
    </w:p>
    <w:p>
      <w:pPr>
        <w:autoSpaceDE w:val="0"/>
        <w:autoSpaceDN w:val="0"/>
        <w:adjustRightInd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特此证明</w:t>
      </w:r>
    </w:p>
    <w:p>
      <w:pPr>
        <w:autoSpaceDE w:val="0"/>
        <w:autoSpaceDN w:val="0"/>
        <w:adjustRightInd w:val="0"/>
        <w:spacing w:line="440" w:lineRule="exact"/>
        <w:rPr>
          <w:rFonts w:hint="eastAsia" w:ascii="宋体" w:hAnsi="宋体" w:eastAsia="宋体" w:cs="宋体"/>
          <w:color w:val="auto"/>
          <w:kern w:val="0"/>
          <w:sz w:val="22"/>
          <w:szCs w:val="22"/>
          <w:highlight w:val="none"/>
        </w:rPr>
      </w:pPr>
    </w:p>
    <w:p>
      <w:pPr>
        <w:autoSpaceDE w:val="0"/>
        <w:autoSpaceDN w:val="0"/>
        <w:adjustRightInd w:val="0"/>
        <w:spacing w:line="440" w:lineRule="exact"/>
        <w:rPr>
          <w:rFonts w:hint="eastAsia" w:ascii="宋体" w:hAnsi="宋体" w:eastAsia="宋体" w:cs="宋体"/>
          <w:color w:val="auto"/>
          <w:kern w:val="0"/>
          <w:sz w:val="22"/>
          <w:szCs w:val="22"/>
          <w:highlight w:val="none"/>
        </w:rPr>
      </w:pPr>
    </w:p>
    <w:p>
      <w:pPr>
        <w:autoSpaceDE w:val="0"/>
        <w:autoSpaceDN w:val="0"/>
        <w:adjustRightInd w:val="0"/>
        <w:spacing w:line="440" w:lineRule="exact"/>
        <w:rPr>
          <w:rFonts w:hint="eastAsia" w:ascii="宋体" w:hAnsi="宋体" w:eastAsia="宋体" w:cs="宋体"/>
          <w:color w:val="auto"/>
          <w:kern w:val="0"/>
          <w:sz w:val="22"/>
          <w:szCs w:val="22"/>
          <w:highlight w:val="none"/>
        </w:rPr>
      </w:pPr>
    </w:p>
    <w:p>
      <w:pPr>
        <w:autoSpaceDE w:val="0"/>
        <w:autoSpaceDN w:val="0"/>
        <w:adjustRightInd w:val="0"/>
        <w:spacing w:line="440" w:lineRule="exact"/>
        <w:jc w:val="righ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投标供应商</w:t>
      </w:r>
      <w:r>
        <w:rPr>
          <w:rFonts w:hint="eastAsia" w:ascii="宋体" w:hAnsi="宋体" w:eastAsia="宋体" w:cs="宋体"/>
          <w:color w:val="auto"/>
          <w:kern w:val="0"/>
          <w:sz w:val="22"/>
          <w:szCs w:val="22"/>
          <w:highlight w:val="none"/>
          <w:lang w:val="en-US" w:eastAsia="zh-CN"/>
        </w:rPr>
        <w:t>全称</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eastAsia="zh-CN"/>
        </w:rPr>
        <w:t>盖章</w:t>
      </w:r>
      <w:r>
        <w:rPr>
          <w:rFonts w:hint="eastAsia" w:ascii="宋体" w:hAnsi="宋体" w:eastAsia="宋体" w:cs="宋体"/>
          <w:color w:val="auto"/>
          <w:kern w:val="0"/>
          <w:sz w:val="22"/>
          <w:szCs w:val="22"/>
          <w:highlight w:val="none"/>
        </w:rPr>
        <w:t>）</w:t>
      </w:r>
    </w:p>
    <w:p>
      <w:pPr>
        <w:wordWrap w:val="0"/>
        <w:autoSpaceDE w:val="0"/>
        <w:autoSpaceDN w:val="0"/>
        <w:adjustRightInd w:val="0"/>
        <w:spacing w:line="440" w:lineRule="exact"/>
        <w:ind w:firstLine="1650" w:firstLineChars="750"/>
        <w:jc w:val="righ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autoSpaceDE w:val="0"/>
        <w:autoSpaceDN w:val="0"/>
        <w:adjustRightInd w:val="0"/>
        <w:jc w:val="left"/>
        <w:rPr>
          <w:rFonts w:hint="eastAsia" w:ascii="宋体" w:hAnsi="宋体" w:eastAsia="宋体" w:cs="宋体"/>
          <w:color w:val="auto"/>
          <w:kern w:val="0"/>
          <w:sz w:val="22"/>
          <w:szCs w:val="22"/>
          <w:highlight w:val="none"/>
        </w:rPr>
      </w:pPr>
    </w:p>
    <w:p>
      <w:pPr>
        <w:spacing w:line="380" w:lineRule="exact"/>
        <w:jc w:val="center"/>
        <w:rPr>
          <w:rFonts w:hint="eastAsia" w:ascii="宋体" w:hAnsi="宋体" w:eastAsia="宋体" w:cs="宋体"/>
          <w:b/>
          <w:color w:val="auto"/>
          <w:sz w:val="24"/>
          <w:highlight w:val="none"/>
        </w:rPr>
      </w:pPr>
    </w:p>
    <w:p>
      <w:pPr>
        <w:spacing w:line="38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附：法定代表人（或单位负责人）身份证明</w:t>
      </w:r>
    </w:p>
    <w:p>
      <w:pPr>
        <w:spacing w:line="380" w:lineRule="exact"/>
        <w:rPr>
          <w:rFonts w:hint="eastAsia" w:ascii="宋体" w:hAnsi="宋体" w:eastAsia="宋体" w:cs="宋体"/>
          <w:b/>
          <w:color w:val="auto"/>
          <w:sz w:val="24"/>
          <w:highlight w:val="none"/>
        </w:rPr>
      </w:pPr>
    </w:p>
    <w:tbl>
      <w:tblPr>
        <w:tblStyle w:val="36"/>
        <w:tblpPr w:leftFromText="180" w:rightFromText="180" w:vertAnchor="text" w:horzAnchor="margin" w:tblpXSpec="right" w:tblpY="1004"/>
        <w:tblW w:w="9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atLeast"/>
        </w:trPr>
        <w:tc>
          <w:tcPr>
            <w:tcW w:w="9344" w:type="dxa"/>
            <w:vAlign w:val="top"/>
          </w:tcPr>
          <w:p>
            <w:pPr>
              <w:spacing w:line="440" w:lineRule="exact"/>
              <w:rPr>
                <w:rFonts w:hint="eastAsia" w:ascii="宋体" w:hAnsi="宋体" w:eastAsia="宋体" w:cs="宋体"/>
                <w:color w:val="auto"/>
                <w:sz w:val="22"/>
                <w:szCs w:val="22"/>
                <w:highlight w:val="none"/>
              </w:rPr>
            </w:pPr>
          </w:p>
          <w:p>
            <w:pPr>
              <w:spacing w:line="440" w:lineRule="exact"/>
              <w:rPr>
                <w:rFonts w:hint="eastAsia" w:ascii="宋体" w:hAnsi="宋体" w:eastAsia="宋体" w:cs="宋体"/>
                <w:color w:val="auto"/>
                <w:sz w:val="22"/>
                <w:szCs w:val="22"/>
                <w:highlight w:val="none"/>
              </w:rPr>
            </w:pPr>
          </w:p>
          <w:p>
            <w:pPr>
              <w:spacing w:line="440" w:lineRule="exact"/>
              <w:jc w:val="center"/>
              <w:rPr>
                <w:rFonts w:hint="eastAsia" w:ascii="宋体" w:hAnsi="宋体" w:eastAsia="宋体" w:cs="宋体"/>
                <w:color w:val="auto"/>
                <w:sz w:val="22"/>
                <w:szCs w:val="22"/>
                <w:highlight w:val="none"/>
              </w:rPr>
            </w:pPr>
          </w:p>
          <w:p>
            <w:pPr>
              <w:tabs>
                <w:tab w:val="left" w:pos="8560"/>
              </w:tabs>
              <w:overflowPunct w:val="0"/>
              <w:spacing w:line="380" w:lineRule="exact"/>
              <w:jc w:val="center"/>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投标供应商法定代表人（或单位负责人）身份证</w:t>
            </w:r>
            <w:r>
              <w:rPr>
                <w:rFonts w:hint="eastAsia" w:ascii="宋体" w:hAnsi="宋体" w:eastAsia="宋体" w:cs="宋体"/>
                <w:bCs/>
                <w:color w:val="auto"/>
                <w:sz w:val="28"/>
                <w:szCs w:val="28"/>
                <w:highlight w:val="none"/>
                <w:lang w:eastAsia="zh-CN"/>
              </w:rPr>
              <w:t>复制件</w:t>
            </w:r>
          </w:p>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（粘贴处）</w:t>
            </w:r>
          </w:p>
        </w:tc>
      </w:tr>
    </w:tbl>
    <w:p>
      <w:pPr>
        <w:overflowPunct w:val="0"/>
        <w:spacing w:line="400" w:lineRule="exact"/>
        <w:jc w:val="center"/>
        <w:rPr>
          <w:rFonts w:hint="eastAsia" w:ascii="宋体" w:hAnsi="宋体" w:eastAsia="宋体" w:cs="宋体"/>
          <w:bCs/>
          <w:color w:val="auto"/>
          <w:sz w:val="30"/>
          <w:szCs w:val="30"/>
          <w:highlight w:val="none"/>
        </w:rPr>
      </w:pPr>
      <w:r>
        <w:rPr>
          <w:rFonts w:hint="eastAsia" w:ascii="宋体" w:hAnsi="宋体" w:eastAsia="宋体" w:cs="宋体"/>
          <w:b/>
          <w:color w:val="auto"/>
          <w:sz w:val="24"/>
          <w:highlight w:val="none"/>
        </w:rPr>
        <w:br w:type="page"/>
      </w:r>
    </w:p>
    <w:p>
      <w:pPr>
        <w:spacing w:line="38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（2）法定代表人（或单位负责人）授权书</w:t>
      </w:r>
    </w:p>
    <w:p>
      <w:pPr>
        <w:overflowPunct w:val="0"/>
        <w:spacing w:line="420" w:lineRule="exact"/>
        <w:rPr>
          <w:rFonts w:hint="eastAsia" w:ascii="宋体" w:hAnsi="宋体" w:eastAsia="宋体" w:cs="宋体"/>
          <w:color w:val="auto"/>
          <w:sz w:val="22"/>
          <w:highlight w:val="none"/>
        </w:rPr>
      </w:pPr>
    </w:p>
    <w:p>
      <w:pPr>
        <w:overflowPunct w:val="0"/>
        <w:spacing w:line="420" w:lineRule="exact"/>
        <w:rPr>
          <w:rFonts w:hint="eastAsia" w:ascii="宋体" w:hAnsi="宋体" w:eastAsia="宋体" w:cs="宋体"/>
          <w:bCs/>
          <w:iCs/>
          <w:color w:val="auto"/>
          <w:sz w:val="22"/>
          <w:highlight w:val="none"/>
          <w:u w:val="single"/>
        </w:rPr>
      </w:pPr>
      <w:r>
        <w:rPr>
          <w:rFonts w:hint="eastAsia" w:ascii="宋体" w:hAnsi="宋体" w:eastAsia="宋体" w:cs="宋体"/>
          <w:bCs/>
          <w:iCs/>
          <w:color w:val="auto"/>
          <w:sz w:val="22"/>
          <w:highlight w:val="none"/>
          <w:u w:val="single"/>
        </w:rPr>
        <w:t>温州市铁路与轨道交通投资集团有限公司</w:t>
      </w:r>
      <w:r>
        <w:rPr>
          <w:rFonts w:hint="eastAsia" w:ascii="宋体" w:hAnsi="宋体" w:eastAsia="宋体" w:cs="宋体"/>
          <w:bCs/>
          <w:iCs/>
          <w:color w:val="auto"/>
          <w:sz w:val="22"/>
          <w:highlight w:val="none"/>
        </w:rPr>
        <w:t>：</w:t>
      </w:r>
    </w:p>
    <w:p>
      <w:pPr>
        <w:overflowPunct w:val="0"/>
        <w:spacing w:line="420" w:lineRule="exact"/>
        <w:rPr>
          <w:rFonts w:hint="eastAsia" w:ascii="宋体" w:hAnsi="宋体" w:eastAsia="宋体" w:cs="宋体"/>
          <w:bCs/>
          <w:iCs/>
          <w:color w:val="auto"/>
          <w:sz w:val="22"/>
          <w:szCs w:val="22"/>
          <w:highlight w:val="none"/>
          <w:u w:val="single"/>
        </w:rPr>
      </w:pPr>
      <w:r>
        <w:rPr>
          <w:rFonts w:hint="eastAsia" w:ascii="宋体" w:hAnsi="宋体" w:eastAsia="宋体" w:cs="宋体"/>
          <w:bCs/>
          <w:iCs/>
          <w:color w:val="auto"/>
          <w:sz w:val="22"/>
          <w:szCs w:val="22"/>
          <w:highlight w:val="none"/>
          <w:u w:val="single"/>
          <w:lang w:eastAsia="zh-CN"/>
        </w:rPr>
        <w:t>浙江省成套招标代理有限公司</w:t>
      </w:r>
      <w:r>
        <w:rPr>
          <w:rFonts w:hint="eastAsia" w:ascii="宋体" w:hAnsi="宋体" w:eastAsia="宋体" w:cs="宋体"/>
          <w:bCs/>
          <w:iCs/>
          <w:color w:val="auto"/>
          <w:sz w:val="22"/>
          <w:szCs w:val="22"/>
          <w:highlight w:val="none"/>
        </w:rPr>
        <w:t>：</w:t>
      </w:r>
    </w:p>
    <w:p>
      <w:pPr>
        <w:overflowPunct w:val="0"/>
        <w:spacing w:line="460" w:lineRule="exact"/>
        <w:rPr>
          <w:rFonts w:hint="eastAsia" w:ascii="宋体" w:hAnsi="宋体" w:eastAsia="宋体" w:cs="宋体"/>
          <w:color w:val="auto"/>
          <w:sz w:val="22"/>
          <w:szCs w:val="22"/>
          <w:highlight w:val="none"/>
          <w:u w:val="single"/>
        </w:rPr>
      </w:pPr>
    </w:p>
    <w:p>
      <w:pPr>
        <w:overflowPunct w:val="0"/>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（投标供应商全称）法定代表人（或单位负责人）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w:t>
      </w:r>
    </w:p>
    <w:p>
      <w:pPr>
        <w:overflowPunct w:val="0"/>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（授权代表姓名）为全权代表，参加贵单位组织的 </w:t>
      </w:r>
      <w:r>
        <w:rPr>
          <w:rFonts w:hint="eastAsia" w:ascii="宋体" w:hAnsi="宋体" w:eastAsia="宋体" w:cs="宋体"/>
          <w:b/>
          <w:bCs/>
          <w:color w:val="auto"/>
          <w:sz w:val="22"/>
          <w:szCs w:val="22"/>
          <w:highlight w:val="none"/>
          <w:u w:val="single"/>
        </w:rPr>
        <w:t xml:space="preserve"> （采购项目名称）    </w:t>
      </w:r>
      <w:r>
        <w:rPr>
          <w:rFonts w:hint="eastAsia" w:ascii="宋体" w:hAnsi="宋体" w:eastAsia="宋体" w:cs="宋体"/>
          <w:color w:val="auto"/>
          <w:sz w:val="22"/>
          <w:szCs w:val="22"/>
          <w:highlight w:val="none"/>
          <w:u w:val="single"/>
        </w:rPr>
        <w:t xml:space="preserve"> </w:t>
      </w:r>
      <w:r>
        <w:rPr>
          <w:rFonts w:hint="eastAsia" w:ascii="宋体" w:hAnsi="宋体" w:eastAsia="宋体" w:cs="宋体"/>
          <w:b/>
          <w:bCs/>
          <w:color w:val="auto"/>
          <w:sz w:val="22"/>
          <w:szCs w:val="22"/>
          <w:highlight w:val="none"/>
          <w:u w:val="single"/>
        </w:rPr>
        <w:t xml:space="preserve">（项目编号 ：             </w:t>
      </w:r>
      <w:r>
        <w:rPr>
          <w:rFonts w:hint="eastAsia" w:ascii="宋体" w:hAnsi="宋体" w:eastAsia="宋体" w:cs="宋体"/>
          <w:b/>
          <w:bCs/>
          <w:color w:val="auto"/>
          <w:sz w:val="22"/>
          <w:szCs w:val="22"/>
          <w:highlight w:val="none"/>
        </w:rPr>
        <w:t>）</w:t>
      </w:r>
      <w:r>
        <w:rPr>
          <w:rFonts w:hint="eastAsia" w:ascii="宋体" w:hAnsi="宋体" w:eastAsia="宋体" w:cs="宋体"/>
          <w:color w:val="auto"/>
          <w:sz w:val="22"/>
          <w:szCs w:val="22"/>
          <w:highlight w:val="none"/>
        </w:rPr>
        <w:t>的采购活动，全权代表我方处理采购活动中的一切事宜。</w:t>
      </w:r>
    </w:p>
    <w:p>
      <w:pPr>
        <w:overflowPunct w:val="0"/>
        <w:spacing w:line="460" w:lineRule="exact"/>
        <w:ind w:firstLine="2955"/>
        <w:rPr>
          <w:rFonts w:hint="eastAsia" w:ascii="宋体" w:hAnsi="宋体" w:eastAsia="宋体" w:cs="宋体"/>
          <w:color w:val="auto"/>
          <w:sz w:val="22"/>
          <w:szCs w:val="22"/>
          <w:highlight w:val="none"/>
        </w:rPr>
      </w:pPr>
    </w:p>
    <w:p>
      <w:pPr>
        <w:overflowPunct w:val="0"/>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overflowPunct w:val="0"/>
        <w:spacing w:line="460" w:lineRule="exact"/>
        <w:ind w:firstLine="3971" w:firstLineChars="180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法定代表人（或单位负责人） (签字或盖章)：</w:t>
      </w:r>
    </w:p>
    <w:p>
      <w:pPr>
        <w:overflowPunct w:val="0"/>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投标供应商</w:t>
      </w:r>
      <w:r>
        <w:rPr>
          <w:rFonts w:hint="eastAsia" w:ascii="宋体" w:hAnsi="宋体" w:eastAsia="宋体" w:cs="宋体"/>
          <w:color w:val="auto"/>
          <w:sz w:val="22"/>
          <w:szCs w:val="22"/>
          <w:highlight w:val="none"/>
          <w:lang w:val="en-US" w:eastAsia="zh-CN"/>
        </w:rPr>
        <w:t>全</w:t>
      </w:r>
      <w:r>
        <w:rPr>
          <w:rFonts w:hint="eastAsia" w:ascii="宋体" w:hAnsi="宋体" w:eastAsia="宋体" w:cs="宋体"/>
          <w:color w:val="auto"/>
          <w:sz w:val="22"/>
          <w:szCs w:val="22"/>
          <w:highlight w:val="none"/>
        </w:rPr>
        <w:t>称（</w:t>
      </w:r>
      <w:r>
        <w:rPr>
          <w:rFonts w:hint="eastAsia" w:ascii="宋体" w:hAnsi="宋体" w:eastAsia="宋体" w:cs="宋体"/>
          <w:color w:val="auto"/>
          <w:sz w:val="22"/>
          <w:szCs w:val="22"/>
          <w:highlight w:val="none"/>
          <w:lang w:eastAsia="zh-CN"/>
        </w:rPr>
        <w:t>盖章</w:t>
      </w:r>
      <w:r>
        <w:rPr>
          <w:rFonts w:hint="eastAsia" w:ascii="宋体" w:hAnsi="宋体" w:eastAsia="宋体" w:cs="宋体"/>
          <w:color w:val="auto"/>
          <w:sz w:val="22"/>
          <w:szCs w:val="22"/>
          <w:highlight w:val="none"/>
        </w:rPr>
        <w:t>）：</w:t>
      </w:r>
    </w:p>
    <w:p>
      <w:pPr>
        <w:overflowPunct w:val="0"/>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日期：     年    月   日</w:t>
      </w:r>
    </w:p>
    <w:p>
      <w:pPr>
        <w:overflowPunct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w:t>
      </w:r>
    </w:p>
    <w:p>
      <w:pPr>
        <w:overflowPunct w:val="0"/>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授权代表姓名：</w:t>
      </w:r>
    </w:p>
    <w:p>
      <w:pPr>
        <w:overflowPunct w:val="0"/>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p>
      <w:pPr>
        <w:overflowPunct w:val="0"/>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详细通讯地址：</w:t>
      </w:r>
    </w:p>
    <w:p>
      <w:pPr>
        <w:overflowPunct w:val="0"/>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p>
    <w:p>
      <w:pPr>
        <w:overflowPunct w:val="0"/>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传真：</w:t>
      </w:r>
    </w:p>
    <w:p>
      <w:pPr>
        <w:overflowPunct w:val="0"/>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邮政编码:</w:t>
      </w:r>
    </w:p>
    <w:tbl>
      <w:tblPr>
        <w:tblStyle w:val="36"/>
        <w:tblW w:w="9741"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74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717" w:hRule="atLeast"/>
        </w:trPr>
        <w:tc>
          <w:tcPr>
            <w:tcW w:w="9741" w:type="dxa"/>
            <w:vAlign w:val="center"/>
          </w:tcPr>
          <w:p>
            <w:pPr>
              <w:tabs>
                <w:tab w:val="left" w:pos="8560"/>
              </w:tabs>
              <w:overflowPunct w:val="0"/>
              <w:spacing w:line="380" w:lineRule="exact"/>
              <w:jc w:val="center"/>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投标供应商授权代表身份证</w:t>
            </w:r>
            <w:r>
              <w:rPr>
                <w:rFonts w:hint="eastAsia" w:ascii="宋体" w:hAnsi="宋体" w:eastAsia="宋体" w:cs="宋体"/>
                <w:bCs/>
                <w:color w:val="auto"/>
                <w:sz w:val="28"/>
                <w:szCs w:val="28"/>
                <w:highlight w:val="none"/>
                <w:lang w:eastAsia="zh-CN"/>
              </w:rPr>
              <w:t>复制件</w:t>
            </w:r>
          </w:p>
          <w:p>
            <w:pPr>
              <w:overflowPunct w:val="0"/>
              <w:spacing w:line="380" w:lineRule="exact"/>
              <w:jc w:val="center"/>
              <w:rPr>
                <w:rFonts w:hint="eastAsia" w:ascii="宋体" w:hAnsi="宋体" w:eastAsia="宋体" w:cs="宋体"/>
                <w:b/>
                <w:bCs/>
                <w:color w:val="auto"/>
                <w:sz w:val="28"/>
                <w:highlight w:val="none"/>
              </w:rPr>
            </w:pPr>
            <w:r>
              <w:rPr>
                <w:rFonts w:hint="eastAsia" w:ascii="宋体" w:hAnsi="宋体" w:eastAsia="宋体" w:cs="宋体"/>
                <w:color w:val="auto"/>
                <w:sz w:val="22"/>
                <w:szCs w:val="22"/>
                <w:highlight w:val="none"/>
              </w:rPr>
              <w:t>（粘贴处</w:t>
            </w:r>
            <w:r>
              <w:rPr>
                <w:rFonts w:hint="eastAsia" w:ascii="宋体" w:hAnsi="宋体" w:eastAsia="宋体" w:cs="宋体"/>
                <w:color w:val="auto"/>
                <w:sz w:val="22"/>
                <w:szCs w:val="22"/>
                <w:highlight w:val="none"/>
                <w:lang w:val="en-US" w:eastAsia="zh-CN"/>
              </w:rPr>
              <w:t>或附后</w:t>
            </w:r>
            <w:r>
              <w:rPr>
                <w:rFonts w:hint="eastAsia" w:ascii="宋体" w:hAnsi="宋体" w:eastAsia="宋体" w:cs="宋体"/>
                <w:color w:val="auto"/>
                <w:sz w:val="22"/>
                <w:szCs w:val="22"/>
                <w:highlight w:val="none"/>
              </w:rPr>
              <w:t>）</w:t>
            </w:r>
          </w:p>
        </w:tc>
      </w:tr>
    </w:tbl>
    <w:p>
      <w:pPr>
        <w:overflowPunct w:val="0"/>
        <w:spacing w:line="460" w:lineRule="exact"/>
        <w:jc w:val="center"/>
        <w:rPr>
          <w:rFonts w:hint="eastAsia" w:ascii="宋体" w:hAnsi="宋体" w:eastAsia="宋体" w:cs="宋体"/>
          <w:b/>
          <w:color w:val="auto"/>
          <w:sz w:val="28"/>
          <w:highlight w:val="none"/>
        </w:rPr>
      </w:pPr>
    </w:p>
    <w:p>
      <w:pPr>
        <w:spacing w:after="100" w:afterAutospacing="1"/>
        <w:jc w:val="left"/>
        <w:rPr>
          <w:rFonts w:hint="eastAsia" w:ascii="宋体" w:hAnsi="宋体" w:eastAsia="宋体" w:cs="宋体"/>
          <w:b/>
          <w:color w:val="auto"/>
          <w:sz w:val="28"/>
          <w:highlight w:val="none"/>
        </w:rPr>
      </w:pPr>
    </w:p>
    <w:p>
      <w:pPr>
        <w:autoSpaceDE w:val="0"/>
        <w:autoSpaceDN w:val="0"/>
        <w:adjustRightInd w:val="0"/>
        <w:snapToGrid w:val="0"/>
        <w:jc w:val="center"/>
        <w:rPr>
          <w:rFonts w:hint="eastAsia" w:ascii="宋体" w:hAnsi="宋体" w:eastAsia="宋体" w:cs="宋体"/>
          <w:b/>
          <w:bCs/>
          <w:color w:val="auto"/>
          <w:sz w:val="22"/>
          <w:szCs w:val="22"/>
          <w:highlight w:val="none"/>
        </w:rPr>
      </w:pPr>
    </w:p>
    <w:p>
      <w:pPr>
        <w:rPr>
          <w:rFonts w:hint="eastAsia" w:ascii="宋体" w:hAnsi="宋体" w:eastAsia="宋体" w:cs="宋体"/>
          <w:color w:val="auto"/>
          <w:highlight w:val="none"/>
        </w:rPr>
      </w:pPr>
      <w:r>
        <w:rPr>
          <w:rFonts w:hint="eastAsia" w:ascii="宋体" w:hAnsi="宋体" w:eastAsia="宋体" w:cs="宋体"/>
          <w:b/>
          <w:bCs/>
          <w:color w:val="auto"/>
          <w:sz w:val="22"/>
          <w:szCs w:val="22"/>
          <w:highlight w:val="none"/>
        </w:rPr>
        <w:br w:type="page"/>
      </w:r>
      <w:r>
        <w:rPr>
          <w:rFonts w:hint="eastAsia" w:ascii="宋体" w:hAnsi="宋体" w:eastAsia="宋体" w:cs="宋体"/>
          <w:b/>
          <w:bCs/>
          <w:color w:val="auto"/>
          <w:sz w:val="22"/>
          <w:szCs w:val="22"/>
          <w:highlight w:val="none"/>
        </w:rPr>
        <w:t>附件五</w:t>
      </w:r>
      <w:r>
        <w:rPr>
          <w:rFonts w:hint="eastAsia" w:ascii="宋体" w:hAnsi="宋体" w:eastAsia="宋体" w:cs="宋体"/>
          <w:color w:val="auto"/>
          <w:highlight w:val="none"/>
        </w:rPr>
        <w:t xml:space="preserve">  </w:t>
      </w:r>
    </w:p>
    <w:p>
      <w:pPr>
        <w:spacing w:line="440" w:lineRule="exact"/>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拟投入本项目的服务团队人员配置表</w:t>
      </w:r>
    </w:p>
    <w:p>
      <w:pPr>
        <w:ind w:firstLine="107" w:firstLineChars="49"/>
        <w:rPr>
          <w:rFonts w:hint="eastAsia" w:ascii="宋体" w:hAnsi="宋体" w:eastAsia="宋体" w:cs="宋体"/>
          <w:color w:val="auto"/>
          <w:sz w:val="22"/>
          <w:szCs w:val="22"/>
          <w:highlight w:val="none"/>
        </w:rPr>
      </w:pPr>
    </w:p>
    <w:p>
      <w:pPr>
        <w:ind w:firstLine="107" w:firstLineChars="4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项目名称：                                          项目编号： </w:t>
      </w:r>
    </w:p>
    <w:tbl>
      <w:tblPr>
        <w:tblStyle w:val="36"/>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49"/>
        <w:gridCol w:w="1134"/>
        <w:gridCol w:w="1216"/>
        <w:gridCol w:w="1157"/>
        <w:gridCol w:w="2123"/>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性别</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岗位</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学历</w:t>
            </w:r>
          </w:p>
        </w:tc>
        <w:tc>
          <w:tcPr>
            <w:tcW w:w="2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拟任本项目业务的职务</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参与管理项目数量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2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2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2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2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2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2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2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2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szCs w:val="22"/>
                <w:highlight w:val="none"/>
              </w:rPr>
            </w:pPr>
          </w:p>
        </w:tc>
      </w:tr>
    </w:tbl>
    <w:p>
      <w:pPr>
        <w:widowControl/>
        <w:overflowPunct w:val="0"/>
        <w:autoSpaceDE w:val="0"/>
        <w:autoSpaceDN w:val="0"/>
        <w:adjustRightInd w:val="0"/>
        <w:spacing w:line="400" w:lineRule="atLeast"/>
        <w:ind w:left="661" w:leftChars="52" w:hanging="552" w:hangingChars="250"/>
        <w:jc w:val="left"/>
        <w:textAlignment w:val="baseline"/>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注：</w:t>
      </w:r>
      <w:r>
        <w:rPr>
          <w:rFonts w:hint="eastAsia" w:ascii="宋体" w:hAnsi="宋体" w:eastAsia="宋体" w:cs="宋体"/>
          <w:b/>
          <w:color w:val="auto"/>
          <w:sz w:val="22"/>
          <w:szCs w:val="22"/>
          <w:highlight w:val="none"/>
        </w:rPr>
        <w:t>投标供应商为完成本项目组建的项目组人员名单，每个专业人员的情况和人员数应该明确表示，项目组人员须为公司的正式职员；上述人员未经采购人同意，不得擅自更换。</w:t>
      </w:r>
    </w:p>
    <w:p>
      <w:pPr>
        <w:widowControl/>
        <w:overflowPunct w:val="0"/>
        <w:autoSpaceDE w:val="0"/>
        <w:autoSpaceDN w:val="0"/>
        <w:adjustRightInd w:val="0"/>
        <w:spacing w:line="400" w:lineRule="atLeast"/>
        <w:ind w:left="661" w:leftChars="52" w:hanging="552" w:hangingChars="250"/>
        <w:jc w:val="left"/>
        <w:textAlignment w:val="baseline"/>
        <w:rPr>
          <w:rFonts w:hint="eastAsia" w:ascii="宋体" w:hAnsi="宋体" w:eastAsia="宋体" w:cs="宋体"/>
          <w:b/>
          <w:color w:val="auto"/>
          <w:sz w:val="22"/>
          <w:szCs w:val="22"/>
          <w:highlight w:val="none"/>
        </w:rPr>
      </w:pPr>
    </w:p>
    <w:p>
      <w:pPr>
        <w:widowControl/>
        <w:overflowPunct w:val="0"/>
        <w:autoSpaceDE w:val="0"/>
        <w:autoSpaceDN w:val="0"/>
        <w:adjustRightInd w:val="0"/>
        <w:spacing w:line="400" w:lineRule="atLeast"/>
        <w:ind w:left="661" w:leftChars="52" w:hanging="552" w:hangingChars="250"/>
        <w:jc w:val="left"/>
        <w:textAlignment w:val="baseline"/>
        <w:rPr>
          <w:rFonts w:hint="eastAsia" w:ascii="宋体" w:hAnsi="宋体" w:eastAsia="宋体" w:cs="宋体"/>
          <w:b/>
          <w:color w:val="auto"/>
          <w:sz w:val="22"/>
          <w:szCs w:val="22"/>
          <w:highlight w:val="none"/>
        </w:rPr>
      </w:pPr>
    </w:p>
    <w:p>
      <w:pPr>
        <w:spacing w:line="400" w:lineRule="exact"/>
        <w:jc w:val="center"/>
        <w:rPr>
          <w:rFonts w:hint="eastAsia" w:ascii="宋体" w:hAnsi="宋体" w:eastAsia="宋体" w:cs="宋体"/>
          <w:b/>
          <w:bCs/>
          <w:color w:val="auto"/>
          <w:sz w:val="22"/>
          <w:szCs w:val="22"/>
          <w:highlight w:val="none"/>
        </w:rPr>
      </w:pPr>
    </w:p>
    <w:p>
      <w:pPr>
        <w:spacing w:line="360" w:lineRule="auto"/>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w:t>
      </w:r>
      <w:r>
        <w:rPr>
          <w:rFonts w:hint="eastAsia" w:ascii="宋体" w:hAnsi="宋体" w:eastAsia="宋体" w:cs="宋体"/>
          <w:color w:val="auto"/>
          <w:sz w:val="22"/>
          <w:szCs w:val="22"/>
          <w:highlight w:val="none"/>
          <w:lang w:val="en-US" w:eastAsia="zh-CN"/>
        </w:rPr>
        <w:t>全</w:t>
      </w:r>
      <w:r>
        <w:rPr>
          <w:rFonts w:hint="eastAsia" w:ascii="宋体" w:hAnsi="宋体" w:eastAsia="宋体" w:cs="宋体"/>
          <w:color w:val="auto"/>
          <w:sz w:val="22"/>
          <w:szCs w:val="22"/>
          <w:highlight w:val="none"/>
        </w:rPr>
        <w:t>称（</w:t>
      </w:r>
      <w:r>
        <w:rPr>
          <w:rFonts w:hint="eastAsia" w:ascii="宋体" w:hAnsi="宋体" w:eastAsia="宋体" w:cs="宋体"/>
          <w:color w:val="auto"/>
          <w:sz w:val="22"/>
          <w:szCs w:val="22"/>
          <w:highlight w:val="none"/>
          <w:lang w:eastAsia="zh-CN"/>
        </w:rPr>
        <w:t>盖章</w:t>
      </w:r>
      <w:r>
        <w:rPr>
          <w:rFonts w:hint="eastAsia" w:ascii="宋体" w:hAnsi="宋体" w:eastAsia="宋体" w:cs="宋体"/>
          <w:color w:val="auto"/>
          <w:sz w:val="22"/>
          <w:szCs w:val="22"/>
          <w:highlight w:val="none"/>
        </w:rPr>
        <w:t>）：</w:t>
      </w:r>
    </w:p>
    <w:p>
      <w:pPr>
        <w:spacing w:line="360" w:lineRule="auto"/>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投标供应商法定代表人（或单位负责人）或授权代表（签字或盖章）：</w:t>
      </w:r>
    </w:p>
    <w:p>
      <w:pPr>
        <w:spacing w:line="360" w:lineRule="auto"/>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spacing w:line="400" w:lineRule="exact"/>
        <w:ind w:firstLine="734" w:firstLineChars="334"/>
        <w:rPr>
          <w:rFonts w:hint="eastAsia" w:ascii="宋体" w:hAnsi="宋体" w:eastAsia="宋体" w:cs="宋体"/>
          <w:color w:val="auto"/>
          <w:sz w:val="22"/>
          <w:szCs w:val="22"/>
          <w:highlight w:val="none"/>
        </w:rPr>
      </w:pPr>
    </w:p>
    <w:p>
      <w:pPr>
        <w:spacing w:line="380" w:lineRule="exact"/>
        <w:rPr>
          <w:rFonts w:hint="eastAsia" w:ascii="宋体" w:hAnsi="宋体" w:eastAsia="宋体" w:cs="宋体"/>
          <w:b/>
          <w:color w:val="auto"/>
          <w:spacing w:val="-2"/>
          <w:sz w:val="22"/>
          <w:szCs w:val="22"/>
          <w:highlight w:val="none"/>
        </w:rPr>
      </w:pPr>
      <w:r>
        <w:rPr>
          <w:rFonts w:hint="eastAsia" w:ascii="宋体" w:hAnsi="宋体" w:eastAsia="宋体" w:cs="宋体"/>
          <w:color w:val="auto"/>
          <w:sz w:val="22"/>
          <w:szCs w:val="22"/>
          <w:highlight w:val="none"/>
        </w:rPr>
        <w:br w:type="page"/>
      </w:r>
      <w:r>
        <w:rPr>
          <w:rFonts w:hint="eastAsia" w:ascii="宋体" w:hAnsi="宋体" w:eastAsia="宋体" w:cs="宋体"/>
          <w:b/>
          <w:color w:val="auto"/>
          <w:spacing w:val="-2"/>
          <w:sz w:val="22"/>
          <w:szCs w:val="22"/>
          <w:highlight w:val="none"/>
        </w:rPr>
        <w:t>附件六</w:t>
      </w:r>
    </w:p>
    <w:p>
      <w:pPr>
        <w:spacing w:line="380" w:lineRule="exact"/>
        <w:jc w:val="center"/>
        <w:rPr>
          <w:rFonts w:hint="eastAsia" w:ascii="宋体" w:hAnsi="宋体" w:eastAsia="宋体" w:cs="宋体"/>
          <w:b/>
          <w:color w:val="auto"/>
          <w:spacing w:val="-2"/>
          <w:sz w:val="32"/>
          <w:szCs w:val="32"/>
          <w:highlight w:val="none"/>
        </w:rPr>
      </w:pPr>
    </w:p>
    <w:p>
      <w:pPr>
        <w:spacing w:line="380" w:lineRule="exact"/>
        <w:jc w:val="center"/>
        <w:rPr>
          <w:rFonts w:hint="eastAsia" w:ascii="宋体" w:hAnsi="宋体" w:eastAsia="宋体" w:cs="宋体"/>
          <w:b/>
          <w:color w:val="auto"/>
          <w:spacing w:val="-2"/>
          <w:sz w:val="22"/>
          <w:szCs w:val="22"/>
          <w:highlight w:val="none"/>
        </w:rPr>
      </w:pPr>
      <w:r>
        <w:rPr>
          <w:rFonts w:hint="eastAsia" w:ascii="宋体" w:hAnsi="宋体" w:eastAsia="宋体" w:cs="宋体"/>
          <w:b/>
          <w:color w:val="auto"/>
          <w:spacing w:val="-2"/>
          <w:sz w:val="22"/>
          <w:szCs w:val="22"/>
          <w:highlight w:val="none"/>
        </w:rPr>
        <w:t>中标承销费率承诺函</w:t>
      </w:r>
    </w:p>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360" w:lineRule="auto"/>
        <w:rPr>
          <w:rFonts w:hint="eastAsia"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rPr>
        <w:t>温州市铁路与轨道交通投资集团有限公司：</w:t>
      </w:r>
    </w:p>
    <w:p>
      <w:pPr>
        <w:tabs>
          <w:tab w:val="left" w:pos="4860"/>
        </w:tabs>
        <w:spacing w:line="360" w:lineRule="auto"/>
        <w:ind w:right="98"/>
        <w:jc w:val="left"/>
        <w:rPr>
          <w:rFonts w:hint="eastAsia" w:ascii="宋体" w:hAnsi="宋体" w:eastAsia="宋体" w:cs="宋体"/>
          <w:color w:val="auto"/>
          <w:spacing w:val="-2"/>
          <w:sz w:val="22"/>
          <w:szCs w:val="22"/>
          <w:highlight w:val="none"/>
        </w:rPr>
      </w:pPr>
    </w:p>
    <w:p>
      <w:pPr>
        <w:tabs>
          <w:tab w:val="left" w:pos="4860"/>
        </w:tabs>
        <w:spacing w:line="360" w:lineRule="auto"/>
        <w:ind w:right="98" w:firstLine="432" w:firstLineChars="200"/>
        <w:jc w:val="left"/>
        <w:rPr>
          <w:rFonts w:hint="eastAsia"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rPr>
        <w:t>我</w:t>
      </w:r>
      <w:r>
        <w:rPr>
          <w:rFonts w:hint="eastAsia" w:ascii="宋体" w:hAnsi="宋体" w:eastAsia="宋体" w:cs="宋体"/>
          <w:color w:val="auto"/>
          <w:spacing w:val="-2"/>
          <w:sz w:val="22"/>
          <w:szCs w:val="22"/>
          <w:highlight w:val="none"/>
          <w:lang w:val="en-US" w:eastAsia="zh-CN"/>
        </w:rPr>
        <w:t>方</w:t>
      </w:r>
      <w:r>
        <w:rPr>
          <w:rFonts w:hint="eastAsia" w:ascii="宋体" w:hAnsi="宋体" w:eastAsia="宋体" w:cs="宋体"/>
          <w:color w:val="auto"/>
          <w:spacing w:val="-2"/>
          <w:sz w:val="22"/>
          <w:szCs w:val="22"/>
          <w:highlight w:val="none"/>
        </w:rPr>
        <w:t>参与的贵单位组织的</w:t>
      </w:r>
      <w:r>
        <w:rPr>
          <w:rFonts w:hint="eastAsia" w:ascii="宋体" w:hAnsi="宋体" w:eastAsia="宋体" w:cs="宋体"/>
          <w:color w:val="auto"/>
          <w:spacing w:val="-2"/>
          <w:sz w:val="22"/>
          <w:szCs w:val="22"/>
          <w:highlight w:val="none"/>
          <w:u w:val="single"/>
        </w:rPr>
        <w:t xml:space="preserve">                      </w:t>
      </w:r>
      <w:r>
        <w:rPr>
          <w:rFonts w:hint="eastAsia" w:ascii="宋体" w:hAnsi="宋体" w:eastAsia="宋体" w:cs="宋体"/>
          <w:color w:val="auto"/>
          <w:spacing w:val="-2"/>
          <w:sz w:val="22"/>
          <w:szCs w:val="22"/>
          <w:highlight w:val="none"/>
        </w:rPr>
        <w:t>项目（项目编号：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pacing w:val="-2"/>
          <w:sz w:val="22"/>
          <w:szCs w:val="22"/>
          <w:highlight w:val="none"/>
        </w:rPr>
        <w:t>）的投标。</w:t>
      </w:r>
      <w:r>
        <w:rPr>
          <w:rFonts w:hint="eastAsia" w:ascii="宋体" w:hAnsi="宋体" w:eastAsia="宋体" w:cs="宋体"/>
          <w:color w:val="auto"/>
          <w:spacing w:val="-2"/>
          <w:sz w:val="22"/>
          <w:szCs w:val="22"/>
          <w:highlight w:val="none"/>
          <w:lang w:val="en-US" w:eastAsia="zh-CN"/>
        </w:rPr>
        <w:t>如有幸中标，</w:t>
      </w:r>
      <w:r>
        <w:rPr>
          <w:rFonts w:hint="eastAsia" w:ascii="宋体" w:hAnsi="宋体" w:eastAsia="宋体" w:cs="宋体"/>
          <w:color w:val="auto"/>
          <w:spacing w:val="-2"/>
          <w:sz w:val="22"/>
          <w:szCs w:val="22"/>
          <w:highlight w:val="none"/>
        </w:rPr>
        <w:t>我单位针对本项目中标承销费率</w:t>
      </w:r>
      <w:r>
        <w:rPr>
          <w:rFonts w:hint="eastAsia" w:ascii="宋体" w:hAnsi="宋体" w:eastAsia="宋体" w:cs="宋体"/>
          <w:color w:val="auto"/>
          <w:sz w:val="22"/>
          <w:szCs w:val="22"/>
          <w:highlight w:val="none"/>
        </w:rPr>
        <w:t>做出以下</w:t>
      </w:r>
      <w:r>
        <w:rPr>
          <w:rFonts w:hint="eastAsia" w:ascii="宋体" w:hAnsi="宋体" w:eastAsia="宋体" w:cs="宋体"/>
          <w:color w:val="auto"/>
          <w:spacing w:val="-2"/>
          <w:sz w:val="22"/>
          <w:szCs w:val="22"/>
          <w:highlight w:val="none"/>
        </w:rPr>
        <w:t>承诺：</w:t>
      </w:r>
    </w:p>
    <w:p>
      <w:pPr>
        <w:spacing w:line="360" w:lineRule="auto"/>
        <w:ind w:firstLine="440" w:firstLineChars="200"/>
        <w:rPr>
          <w:rFonts w:hint="eastAsia" w:ascii="宋体" w:hAnsi="宋体" w:eastAsia="宋体" w:cs="宋体"/>
          <w:color w:val="auto"/>
          <w:spacing w:val="-2"/>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我</w:t>
      </w:r>
      <w:r>
        <w:rPr>
          <w:rFonts w:hint="eastAsia" w:ascii="宋体" w:hAnsi="宋体" w:eastAsia="宋体" w:cs="宋体"/>
          <w:color w:val="auto"/>
          <w:spacing w:val="-2"/>
          <w:sz w:val="22"/>
          <w:szCs w:val="22"/>
          <w:highlight w:val="none"/>
          <w:lang w:val="en-US" w:eastAsia="zh-CN"/>
        </w:rPr>
        <w:t>方</w:t>
      </w:r>
      <w:r>
        <w:rPr>
          <w:rFonts w:hint="eastAsia" w:ascii="宋体" w:hAnsi="宋体" w:eastAsia="宋体" w:cs="宋体"/>
          <w:color w:val="auto"/>
          <w:sz w:val="22"/>
          <w:szCs w:val="22"/>
          <w:highlight w:val="none"/>
          <w:lang w:val="en-US" w:eastAsia="zh-CN"/>
        </w:rPr>
        <w:t>投标报价（年承销费率）作为本项目的</w:t>
      </w:r>
      <w:r>
        <w:rPr>
          <w:rFonts w:hint="eastAsia" w:ascii="宋体" w:hAnsi="宋体" w:eastAsia="宋体" w:cs="宋体"/>
          <w:color w:val="auto"/>
          <w:spacing w:val="-2"/>
          <w:sz w:val="22"/>
          <w:szCs w:val="22"/>
          <w:highlight w:val="none"/>
        </w:rPr>
        <w:t>中标承销费率</w:t>
      </w:r>
      <w:r>
        <w:rPr>
          <w:rFonts w:hint="eastAsia" w:ascii="宋体" w:hAnsi="宋体" w:eastAsia="宋体" w:cs="宋体"/>
          <w:color w:val="auto"/>
          <w:sz w:val="22"/>
          <w:szCs w:val="22"/>
          <w:highlight w:val="none"/>
          <w:lang w:val="en-US" w:eastAsia="zh-CN"/>
        </w:rPr>
        <w:t>，在本项目履行期内保持不变。</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2、我</w:t>
      </w:r>
      <w:r>
        <w:rPr>
          <w:rFonts w:hint="eastAsia" w:ascii="宋体" w:hAnsi="宋体" w:eastAsia="宋体" w:cs="宋体"/>
          <w:color w:val="auto"/>
          <w:spacing w:val="-2"/>
          <w:sz w:val="22"/>
          <w:szCs w:val="22"/>
          <w:highlight w:val="none"/>
          <w:lang w:val="en-US" w:eastAsia="zh-CN"/>
        </w:rPr>
        <w:t>方</w:t>
      </w:r>
      <w:r>
        <w:rPr>
          <w:rFonts w:hint="eastAsia" w:ascii="宋体" w:hAnsi="宋体" w:eastAsia="宋体" w:cs="宋体"/>
          <w:color w:val="auto"/>
          <w:sz w:val="22"/>
          <w:szCs w:val="22"/>
          <w:highlight w:val="none"/>
        </w:rPr>
        <w:t>按照该“中标承销费率承诺函”执行，没有任何附加条件。</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我方理解，如不作此承诺，评标委员会将对我方投标作无效标处理。</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特此承诺！</w:t>
      </w: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ind w:right="440" w:firstLine="2420" w:firstLineChars="1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w:t>
      </w:r>
      <w:r>
        <w:rPr>
          <w:rFonts w:hint="eastAsia" w:ascii="宋体" w:hAnsi="宋体" w:eastAsia="宋体" w:cs="宋体"/>
          <w:color w:val="auto"/>
          <w:sz w:val="22"/>
          <w:szCs w:val="22"/>
          <w:highlight w:val="none"/>
          <w:lang w:val="en-US" w:eastAsia="zh-CN"/>
        </w:rPr>
        <w:t>全</w:t>
      </w:r>
      <w:r>
        <w:rPr>
          <w:rFonts w:hint="eastAsia" w:ascii="宋体" w:hAnsi="宋体" w:eastAsia="宋体" w:cs="宋体"/>
          <w:color w:val="auto"/>
          <w:sz w:val="22"/>
          <w:szCs w:val="22"/>
          <w:highlight w:val="none"/>
        </w:rPr>
        <w:t>称（</w:t>
      </w:r>
      <w:r>
        <w:rPr>
          <w:rFonts w:hint="eastAsia" w:ascii="宋体" w:hAnsi="宋体" w:eastAsia="宋体" w:cs="宋体"/>
          <w:color w:val="auto"/>
          <w:sz w:val="22"/>
          <w:szCs w:val="22"/>
          <w:highlight w:val="none"/>
          <w:lang w:eastAsia="zh-CN"/>
        </w:rPr>
        <w:t>盖章</w:t>
      </w:r>
      <w:r>
        <w:rPr>
          <w:rFonts w:hint="eastAsia" w:ascii="宋体" w:hAnsi="宋体" w:eastAsia="宋体" w:cs="宋体"/>
          <w:color w:val="auto"/>
          <w:sz w:val="22"/>
          <w:szCs w:val="22"/>
          <w:highlight w:val="none"/>
        </w:rPr>
        <w:t>）：</w:t>
      </w:r>
    </w:p>
    <w:p>
      <w:pPr>
        <w:spacing w:line="360" w:lineRule="auto"/>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投标供应商法定代表人（或单位负责人）或授权代表（签字或盖章）：</w:t>
      </w:r>
    </w:p>
    <w:p>
      <w:pPr>
        <w:spacing w:line="360" w:lineRule="auto"/>
        <w:ind w:right="440" w:firstLine="4510" w:firstLineChars="20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ind w:left="432" w:hanging="432" w:hangingChars="200"/>
        <w:rPr>
          <w:rFonts w:hint="eastAsia" w:ascii="宋体" w:hAnsi="宋体" w:eastAsia="宋体" w:cs="宋体"/>
          <w:color w:val="auto"/>
          <w:spacing w:val="-2"/>
          <w:sz w:val="22"/>
          <w:szCs w:val="22"/>
          <w:highlight w:val="none"/>
        </w:rPr>
      </w:pPr>
    </w:p>
    <w:p>
      <w:pPr>
        <w:numPr>
          <w:ilvl w:val="0"/>
          <w:numId w:val="19"/>
        </w:numPr>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▲本“中标承销费率承诺函”中的内容为实质性内容，投标供应商没有实质性响应该要求的, 作无效标处理。</w:t>
      </w:r>
    </w:p>
    <w:p>
      <w:pPr>
        <w:numPr>
          <w:ilvl w:val="0"/>
          <w:numId w:val="19"/>
        </w:numPr>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▲不提供此附件将被视为没有实质性响应采购文件要求, 作无效标处理。</w:t>
      </w:r>
    </w:p>
    <w:p>
      <w:pPr>
        <w:pStyle w:val="16"/>
        <w:spacing w:line="400" w:lineRule="atLeast"/>
        <w:rPr>
          <w:rFonts w:hint="eastAsia" w:ascii="宋体" w:hAnsi="宋体" w:eastAsia="宋体" w:cs="宋体"/>
          <w:b/>
          <w:color w:val="auto"/>
          <w:sz w:val="28"/>
          <w:highlight w:val="none"/>
        </w:rPr>
        <w:sectPr>
          <w:headerReference r:id="rId4" w:type="default"/>
          <w:footerReference r:id="rId5" w:type="default"/>
          <w:pgSz w:w="11906" w:h="16838"/>
          <w:pgMar w:top="1134" w:right="1247" w:bottom="992" w:left="1417" w:header="851" w:footer="850" w:gutter="0"/>
          <w:pgBorders>
            <w:top w:val="none" w:color="auto" w:sz="0" w:space="0"/>
            <w:left w:val="none" w:color="auto" w:sz="0" w:space="0"/>
            <w:bottom w:val="none" w:color="auto" w:sz="0" w:space="0"/>
            <w:right w:val="none" w:color="auto" w:sz="0" w:space="0"/>
          </w:pgBorders>
          <w:pgNumType w:fmt="decimal"/>
          <w:cols w:space="720" w:num="1"/>
          <w:docGrid w:linePitch="316" w:charSpace="0"/>
        </w:sectPr>
      </w:pPr>
    </w:p>
    <w:p>
      <w:pPr>
        <w:pStyle w:val="2"/>
        <w:spacing w:line="360" w:lineRule="auto"/>
        <w:rPr>
          <w:rFonts w:hint="eastAsia" w:ascii="宋体" w:hAnsi="宋体" w:eastAsia="宋体" w:cs="宋体"/>
          <w:color w:val="auto"/>
          <w:sz w:val="36"/>
          <w:szCs w:val="36"/>
          <w:highlight w:val="none"/>
        </w:rPr>
      </w:pPr>
      <w:bookmarkStart w:id="289" w:name="_Toc12175"/>
      <w:bookmarkStart w:id="290" w:name="_Toc21821"/>
      <w:bookmarkStart w:id="291" w:name="_Toc29498"/>
      <w:bookmarkStart w:id="292" w:name="_Toc10806"/>
      <w:bookmarkStart w:id="293" w:name="_Toc25940"/>
      <w:bookmarkStart w:id="294" w:name="_Toc11243"/>
      <w:bookmarkStart w:id="295" w:name="_Toc75948406"/>
      <w:bookmarkStart w:id="296" w:name="_Toc2639"/>
      <w:r>
        <w:rPr>
          <w:rFonts w:hint="eastAsia" w:ascii="宋体" w:hAnsi="宋体" w:eastAsia="宋体" w:cs="宋体"/>
          <w:color w:val="auto"/>
          <w:sz w:val="36"/>
          <w:szCs w:val="36"/>
          <w:highlight w:val="none"/>
        </w:rPr>
        <w:t>第四部分   采购内容及技术要</w:t>
      </w:r>
      <w:bookmarkEnd w:id="289"/>
      <w:bookmarkEnd w:id="290"/>
      <w:bookmarkEnd w:id="291"/>
      <w:bookmarkEnd w:id="292"/>
      <w:bookmarkEnd w:id="293"/>
      <w:r>
        <w:rPr>
          <w:rFonts w:hint="eastAsia" w:ascii="宋体" w:hAnsi="宋体" w:eastAsia="宋体" w:cs="宋体"/>
          <w:color w:val="auto"/>
          <w:sz w:val="36"/>
          <w:szCs w:val="36"/>
          <w:highlight w:val="none"/>
        </w:rPr>
        <w:t>求</w:t>
      </w:r>
      <w:bookmarkEnd w:id="294"/>
      <w:bookmarkEnd w:id="295"/>
      <w:bookmarkEnd w:id="296"/>
    </w:p>
    <w:p>
      <w:pPr>
        <w:wordWrap/>
        <w:spacing w:line="360" w:lineRule="auto"/>
        <w:ind w:left="0" w:leftChars="0" w:right="0" w:firstLine="440" w:firstLineChars="20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一、基本情况</w:t>
      </w:r>
    </w:p>
    <w:p>
      <w:pPr>
        <w:wordWrap/>
        <w:adjustRightInd w:val="0"/>
        <w:snapToGrid w:val="0"/>
        <w:spacing w:line="360" w:lineRule="auto"/>
        <w:ind w:left="0" w:leftChars="0" w:right="0" w:firstLine="440" w:firstLineChars="20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铁路与轨道交通投资集团有限公司（以下简称：“公司”）成立于2011年2月10日，注册资本金20亿元,股东及实际控制人均为温州市人民政府国有资产监督管理委员会，属国有独资企业。公司是温州市唯一承担城市轨道交通项目前期、工程建设、投融资、运营管理及沿线开发“五位一体”建设的市级国资集团公司，公司内设部门10个、二级公司</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家、参股公司10家及1家自收自支事业单位。</w:t>
      </w:r>
    </w:p>
    <w:p>
      <w:pPr>
        <w:wordWrap/>
        <w:adjustRightInd w:val="0"/>
        <w:snapToGrid w:val="0"/>
        <w:spacing w:line="360" w:lineRule="auto"/>
        <w:ind w:left="0" w:leftChars="0" w:right="0" w:firstLine="440" w:firstLineChars="200"/>
        <w:jc w:val="left"/>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2022年末，集团公司经审计总资产509亿元，净资产297亿元，资产负债率41.61%，有息债务率24.89%，中长期债务占比约87%，连续三年盈利，年均净利润约2.34亿元，财务</w:t>
      </w:r>
      <w:r>
        <w:rPr>
          <w:rFonts w:hint="eastAsia" w:ascii="宋体" w:hAnsi="宋体" w:eastAsia="宋体" w:cs="宋体"/>
          <w:color w:val="auto"/>
          <w:spacing w:val="-4"/>
          <w:sz w:val="22"/>
          <w:szCs w:val="22"/>
          <w:highlight w:val="none"/>
          <w:lang w:val="en-US" w:eastAsia="zh-CN"/>
        </w:rPr>
        <w:t>状况较好。</w:t>
      </w:r>
      <w:r>
        <w:rPr>
          <w:rFonts w:hint="eastAsia" w:ascii="宋体" w:hAnsi="宋体" w:eastAsia="宋体" w:cs="宋体"/>
          <w:bCs/>
          <w:color w:val="auto"/>
          <w:sz w:val="22"/>
          <w:szCs w:val="22"/>
          <w:highlight w:val="none"/>
        </w:rPr>
        <w:t>经联合资信评估有限公司和上海新世纪资信评估投资</w:t>
      </w:r>
      <w:r>
        <w:rPr>
          <w:rFonts w:hint="eastAsia" w:ascii="宋体" w:hAnsi="宋体" w:eastAsia="宋体" w:cs="宋体"/>
          <w:color w:val="auto"/>
          <w:sz w:val="22"/>
          <w:szCs w:val="22"/>
          <w:highlight w:val="none"/>
        </w:rPr>
        <w:t>服务有限公司评估，公司资信等级为AAA，展望稳定。</w:t>
      </w:r>
    </w:p>
    <w:p>
      <w:pPr>
        <w:wordWrap/>
        <w:spacing w:line="360" w:lineRule="auto"/>
        <w:ind w:left="0" w:leftChars="0" w:right="0" w:firstLine="440" w:firstLineChars="20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二、基本要素</w:t>
      </w:r>
    </w:p>
    <w:tbl>
      <w:tblPr>
        <w:tblStyle w:val="36"/>
        <w:tblW w:w="9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50"/>
        <w:gridCol w:w="6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b/>
                <w:bCs/>
                <w:i w:val="0"/>
                <w:color w:val="auto"/>
                <w:kern w:val="0"/>
                <w:sz w:val="22"/>
                <w:szCs w:val="22"/>
                <w:highlight w:val="none"/>
                <w:u w:val="none"/>
                <w:lang w:val="en-US" w:eastAsia="zh-CN"/>
              </w:rPr>
            </w:pPr>
            <w:r>
              <w:rPr>
                <w:rFonts w:hint="eastAsia" w:ascii="宋体" w:hAnsi="宋体" w:eastAsia="宋体" w:cs="宋体"/>
                <w:b/>
                <w:bCs/>
                <w:i w:val="0"/>
                <w:color w:val="auto"/>
                <w:kern w:val="0"/>
                <w:sz w:val="22"/>
                <w:szCs w:val="22"/>
                <w:highlight w:val="none"/>
                <w:u w:val="none"/>
                <w:lang w:val="en-US" w:eastAsia="zh-CN"/>
              </w:rPr>
              <w:t>要素</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b/>
                <w:bCs/>
                <w:i w:val="0"/>
                <w:color w:val="auto"/>
                <w:kern w:val="0"/>
                <w:sz w:val="22"/>
                <w:szCs w:val="22"/>
                <w:highlight w:val="none"/>
                <w:u w:val="none"/>
                <w:lang w:val="en-US" w:eastAsia="zh-CN"/>
              </w:rPr>
            </w:pPr>
            <w:r>
              <w:rPr>
                <w:rFonts w:hint="eastAsia" w:ascii="宋体" w:hAnsi="宋体" w:eastAsia="宋体" w:cs="宋体"/>
                <w:b/>
                <w:bCs/>
                <w:i w:val="0"/>
                <w:color w:val="auto"/>
                <w:kern w:val="0"/>
                <w:sz w:val="22"/>
                <w:szCs w:val="22"/>
                <w:highlight w:val="none"/>
                <w:u w:val="none"/>
                <w:lang w:val="en-US" w:eastAsia="zh-CN"/>
              </w:rPr>
              <w:t>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发行主体</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温州市铁路与轨道交通投资集团有限公司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债券品种</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超短期融资券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发行规模</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不超过15亿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发行方式</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通过簿记建档、集中配售的方式在银行间市场公开发行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主体/债项评级</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AAA/无需债项评级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债券期限</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不超270天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预计票面利率</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根据发行时市场行情确定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发行价格</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本次公司债面值 100元/张，平价发行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还本付息方式</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到期一次性还本付息。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募集资金用途</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用于偿还有息债务、补充营运资金等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承销方式</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余额包销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担保情况</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不涉及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交易场所</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银行间债券市场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承销商选聘方式</w:t>
            </w:r>
          </w:p>
        </w:tc>
        <w:tc>
          <w:tcPr>
            <w:tcW w:w="6329" w:type="dxa"/>
            <w:tcBorders>
              <w:top w:val="single" w:color="000000" w:sz="4" w:space="0"/>
              <w:left w:val="single" w:color="000000" w:sz="4" w:space="0"/>
              <w:bottom w:val="single" w:color="000000" w:sz="4" w:space="0"/>
              <w:right w:val="single" w:color="000000" w:sz="4" w:space="0"/>
            </w:tcBorders>
            <w:vAlign w:val="center"/>
          </w:tcPr>
          <w:p>
            <w:pPr>
              <w:widowControl/>
              <w:wordWrap/>
              <w:spacing w:line="360" w:lineRule="auto"/>
              <w:ind w:left="0" w:leftChars="0" w:right="0"/>
              <w:jc w:val="center"/>
              <w:textAlignment w:val="bottom"/>
              <w:outlineLvl w:val="9"/>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采用公开招投标的方式</w:t>
            </w:r>
          </w:p>
        </w:tc>
      </w:tr>
    </w:tbl>
    <w:p>
      <w:pPr>
        <w:wordWrap/>
        <w:spacing w:line="360" w:lineRule="auto"/>
        <w:ind w:left="0" w:leftChars="0" w:right="0" w:firstLine="440" w:firstLineChars="200"/>
        <w:outlineLvl w:val="9"/>
        <w:rPr>
          <w:rFonts w:hint="eastAsia" w:ascii="宋体" w:hAnsi="宋体" w:eastAsia="宋体" w:cs="宋体"/>
          <w:color w:val="auto"/>
          <w:sz w:val="22"/>
          <w:szCs w:val="22"/>
          <w:highlight w:val="none"/>
        </w:rPr>
      </w:pPr>
    </w:p>
    <w:p>
      <w:pPr>
        <w:wordWrap/>
        <w:spacing w:line="360" w:lineRule="auto"/>
        <w:ind w:left="0" w:leftChars="0" w:right="0" w:firstLine="442" w:firstLineChars="200"/>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三、采购要求</w:t>
      </w:r>
    </w:p>
    <w:p>
      <w:pPr>
        <w:wordWrap/>
        <w:spacing w:line="360" w:lineRule="auto"/>
        <w:ind w:left="0" w:leftChars="0" w:right="0" w:firstLine="442" w:firstLineChars="200"/>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val="en-US" w:eastAsia="zh-CN"/>
        </w:rPr>
        <w:t>一</w:t>
      </w:r>
      <w:r>
        <w:rPr>
          <w:rFonts w:hint="eastAsia" w:ascii="宋体" w:hAnsi="宋体" w:eastAsia="宋体" w:cs="宋体"/>
          <w:b/>
          <w:color w:val="auto"/>
          <w:sz w:val="22"/>
          <w:szCs w:val="22"/>
          <w:highlight w:val="none"/>
        </w:rPr>
        <w:t>）工作内容</w:t>
      </w:r>
    </w:p>
    <w:p>
      <w:pPr>
        <w:pStyle w:val="92"/>
        <w:wordWrap/>
        <w:spacing w:line="360" w:lineRule="auto"/>
        <w:ind w:left="0" w:leftChars="0" w:right="0" w:firstLine="60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次采购的温州市铁路与轨道交通投资集团有限公司超短期融资券承销服务机构，为本次债券提供承做、承销以及后续管理等所有服务，具体包括但不限于：完成发债准备工作、制作申报材料并上报、与主管部门的沟通、完成债券的注册、发行与销售、后期的支持与服务等全部工作。</w:t>
      </w:r>
    </w:p>
    <w:p>
      <w:pPr>
        <w:pStyle w:val="92"/>
        <w:wordWrap/>
        <w:spacing w:line="360" w:lineRule="auto"/>
        <w:ind w:left="0" w:leftChars="0" w:right="0" w:firstLine="60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2.牵头主承销商负责注册及协助其他主承销商加入承销团等工作。牵头主承销商投标时需提供不少于</w:t>
      </w:r>
      <w:r>
        <w:rPr>
          <w:rFonts w:hint="eastAsia" w:ascii="宋体" w:hAnsi="宋体" w:eastAsia="宋体" w:cs="宋体"/>
          <w:color w:val="auto"/>
          <w:sz w:val="22"/>
          <w:szCs w:val="22"/>
          <w:highlight w:val="none"/>
          <w:lang w:val="en-US" w:eastAsia="zh-CN"/>
        </w:rPr>
        <w:t>15</w:t>
      </w:r>
      <w:r>
        <w:rPr>
          <w:rFonts w:hint="eastAsia" w:ascii="宋体" w:hAnsi="宋体" w:eastAsia="宋体" w:cs="宋体"/>
          <w:color w:val="auto"/>
          <w:sz w:val="22"/>
          <w:szCs w:val="22"/>
          <w:highlight w:val="none"/>
        </w:rPr>
        <w:t>亿元的主承销额度授信</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授信文件加盖投标供应商公章</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w:t>
      </w:r>
    </w:p>
    <w:p>
      <w:pPr>
        <w:wordWrap/>
        <w:spacing w:line="360" w:lineRule="auto"/>
        <w:ind w:left="0" w:leftChars="0" w:right="0" w:firstLine="442" w:firstLineChars="200"/>
        <w:outlineLvl w:val="9"/>
        <w:rPr>
          <w:rFonts w:hint="eastAsia" w:ascii="宋体" w:hAnsi="宋体" w:eastAsia="宋体" w:cs="宋体"/>
          <w:b/>
          <w:color w:val="auto"/>
          <w:sz w:val="22"/>
          <w:szCs w:val="22"/>
          <w:highlight w:val="none"/>
          <w:lang w:val="en-US" w:eastAsia="zh-CN"/>
        </w:rPr>
      </w:pP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val="en-US" w:eastAsia="zh-CN"/>
        </w:rPr>
        <w:t>二</w:t>
      </w: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val="en-US" w:eastAsia="zh-CN"/>
        </w:rPr>
        <w:t>发行要求</w:t>
      </w:r>
    </w:p>
    <w:p>
      <w:pPr>
        <w:wordWrap/>
        <w:spacing w:line="360" w:lineRule="auto"/>
        <w:ind w:left="0" w:leftChars="0" w:right="0" w:firstLine="440" w:firstLineChars="200"/>
        <w:outlineLvl w:val="9"/>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1.本次债券注册工作由牵头主承销商负责，须在承销协议签订生效后两个月内完成全部注册工作，否则采购人有权取消其牵头主承销商资格。</w:t>
      </w:r>
    </w:p>
    <w:p>
      <w:pPr>
        <w:wordWrap/>
        <w:spacing w:line="360" w:lineRule="auto"/>
        <w:ind w:left="0" w:leftChars="0" w:right="0" w:firstLine="440" w:firstLineChars="200"/>
        <w:outlineLvl w:val="9"/>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2.本次超短期融资券首期发行工作由牵头主承销商完成。</w:t>
      </w:r>
    </w:p>
    <w:p>
      <w:pPr>
        <w:wordWrap/>
        <w:spacing w:line="360" w:lineRule="auto"/>
        <w:ind w:left="0" w:leftChars="0" w:right="0" w:firstLine="440" w:firstLineChars="200"/>
        <w:outlineLvl w:val="9"/>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3.其他主承销商在本次超短期融资券其他各期发行前承销商需提供不少于当期发行额度的授信。</w:t>
      </w:r>
    </w:p>
    <w:p>
      <w:pPr>
        <w:wordWrap/>
        <w:spacing w:line="360" w:lineRule="auto"/>
        <w:ind w:left="0" w:leftChars="0" w:right="0" w:firstLine="440" w:firstLineChars="200"/>
        <w:outlineLvl w:val="9"/>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4.本次超短期融资券注册项下其他各期发行前，由各中标主承销商在采购人规定的时间内报送综合发行方案（含承销费和预计票面利率），方案最优者确定为当期主承销商，若存在并列情况可联席发行；若实际发行结果与综合发行方案相符，可继续参与后续发行；否则采购人有权单方面终止协议，该承销商不得参与本次超短期融资券注册项下承销发行。</w:t>
      </w:r>
    </w:p>
    <w:p>
      <w:pPr>
        <w:wordWrap/>
        <w:spacing w:line="360" w:lineRule="auto"/>
        <w:ind w:left="0" w:leftChars="0" w:right="0" w:firstLine="440" w:firstLineChars="200"/>
        <w:outlineLvl w:val="9"/>
        <w:rPr>
          <w:rFonts w:hint="eastAsia" w:ascii="宋体" w:hAnsi="宋体" w:eastAsia="宋体" w:cs="宋体"/>
          <w:color w:val="auto"/>
          <w:sz w:val="22"/>
          <w:szCs w:val="22"/>
          <w:highlight w:val="none"/>
          <w:lang w:val="en-US"/>
        </w:rPr>
      </w:pPr>
      <w:r>
        <w:rPr>
          <w:rFonts w:hint="eastAsia" w:ascii="宋体" w:hAnsi="宋体" w:eastAsia="宋体" w:cs="宋体"/>
          <w:b w:val="0"/>
          <w:bCs/>
          <w:color w:val="auto"/>
          <w:sz w:val="22"/>
          <w:szCs w:val="22"/>
          <w:highlight w:val="none"/>
          <w:lang w:val="en-US" w:eastAsia="zh-CN"/>
        </w:rPr>
        <w:t>5.各中标主承销商针对本项目的投标报价（年承销费率）作为该承销商对于本项目的中标承销费率。</w:t>
      </w:r>
    </w:p>
    <w:p>
      <w:pPr>
        <w:wordWrap/>
        <w:spacing w:line="360" w:lineRule="auto"/>
        <w:ind w:left="0" w:leftChars="0" w:right="0" w:firstLine="442" w:firstLineChars="200"/>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val="en-US" w:eastAsia="zh-CN"/>
        </w:rPr>
        <w:t>三</w:t>
      </w:r>
      <w:r>
        <w:rPr>
          <w:rFonts w:hint="eastAsia" w:ascii="宋体" w:hAnsi="宋体" w:eastAsia="宋体" w:cs="宋体"/>
          <w:b/>
          <w:color w:val="auto"/>
          <w:sz w:val="22"/>
          <w:szCs w:val="22"/>
          <w:highlight w:val="none"/>
        </w:rPr>
        <w:t>）采购预算</w:t>
      </w:r>
    </w:p>
    <w:p>
      <w:pPr>
        <w:pStyle w:val="92"/>
        <w:wordWrap/>
        <w:spacing w:line="360" w:lineRule="auto"/>
        <w:ind w:left="0" w:leftChars="0" w:right="0" w:firstLine="600"/>
        <w:outlineLvl w:val="9"/>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承销费合计不超过人民币</w:t>
      </w:r>
      <w:r>
        <w:rPr>
          <w:rFonts w:hint="eastAsia" w:ascii="宋体" w:hAnsi="宋体" w:eastAsia="宋体" w:cs="宋体"/>
          <w:b/>
          <w:bCs/>
          <w:color w:val="auto"/>
          <w:sz w:val="22"/>
          <w:szCs w:val="22"/>
          <w:highlight w:val="none"/>
          <w:lang w:val="en-US" w:eastAsia="zh-CN"/>
        </w:rPr>
        <w:t>140.25</w:t>
      </w:r>
      <w:r>
        <w:rPr>
          <w:rFonts w:hint="eastAsia" w:ascii="宋体" w:hAnsi="宋体" w:eastAsia="宋体" w:cs="宋体"/>
          <w:b/>
          <w:bCs/>
          <w:color w:val="auto"/>
          <w:sz w:val="22"/>
          <w:szCs w:val="22"/>
          <w:highlight w:val="none"/>
        </w:rPr>
        <w:t>万元，即承销费率上限为0.</w:t>
      </w:r>
      <w:r>
        <w:rPr>
          <w:rFonts w:hint="eastAsia" w:ascii="宋体" w:hAnsi="宋体" w:eastAsia="宋体" w:cs="宋体"/>
          <w:b/>
          <w:bCs/>
          <w:color w:val="auto"/>
          <w:sz w:val="22"/>
          <w:szCs w:val="22"/>
          <w:highlight w:val="none"/>
          <w:lang w:val="en-US" w:eastAsia="zh-CN"/>
        </w:rPr>
        <w:t>068</w:t>
      </w:r>
      <w:r>
        <w:rPr>
          <w:rFonts w:hint="eastAsia" w:ascii="宋体" w:hAnsi="宋体" w:eastAsia="宋体" w:cs="宋体"/>
          <w:b/>
          <w:bCs/>
          <w:color w:val="auto"/>
          <w:sz w:val="22"/>
          <w:szCs w:val="22"/>
          <w:highlight w:val="none"/>
        </w:rPr>
        <w:t>%</w:t>
      </w:r>
      <w:r>
        <w:rPr>
          <w:rFonts w:hint="eastAsia" w:ascii="宋体" w:hAnsi="宋体" w:eastAsia="宋体" w:cs="宋体"/>
          <w:color w:val="auto"/>
          <w:sz w:val="22"/>
          <w:szCs w:val="22"/>
          <w:highlight w:val="none"/>
        </w:rPr>
        <w:t>（即</w:t>
      </w:r>
      <w:r>
        <w:rPr>
          <w:rFonts w:hint="eastAsia" w:ascii="宋体" w:hAnsi="宋体" w:eastAsia="宋体" w:cs="宋体"/>
          <w:color w:val="auto"/>
          <w:sz w:val="22"/>
          <w:szCs w:val="22"/>
          <w:highlight w:val="none"/>
          <w:lang w:val="en-US" w:eastAsia="zh-CN"/>
        </w:rPr>
        <w:t>6.8</w:t>
      </w:r>
      <w:r>
        <w:rPr>
          <w:rFonts w:hint="eastAsia" w:ascii="宋体" w:hAnsi="宋体" w:eastAsia="宋体" w:cs="宋体"/>
          <w:color w:val="auto"/>
          <w:sz w:val="22"/>
          <w:szCs w:val="22"/>
          <w:highlight w:val="none"/>
        </w:rPr>
        <w:t>BP）</w:t>
      </w:r>
      <w:r>
        <w:rPr>
          <w:rFonts w:hint="eastAsia" w:ascii="宋体" w:hAnsi="宋体" w:eastAsia="宋体" w:cs="宋体"/>
          <w:b/>
          <w:bCs/>
          <w:color w:val="auto"/>
          <w:sz w:val="22"/>
          <w:szCs w:val="22"/>
          <w:highlight w:val="none"/>
        </w:rPr>
        <w:t>。</w:t>
      </w:r>
    </w:p>
    <w:p>
      <w:pPr>
        <w:wordWrap/>
        <w:spacing w:line="360" w:lineRule="auto"/>
        <w:ind w:left="0" w:leftChars="0" w:right="0" w:firstLine="442" w:firstLineChars="200"/>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val="en-US" w:eastAsia="zh-CN"/>
        </w:rPr>
        <w:t>四</w:t>
      </w:r>
      <w:r>
        <w:rPr>
          <w:rFonts w:hint="eastAsia" w:ascii="宋体" w:hAnsi="宋体" w:eastAsia="宋体" w:cs="宋体"/>
          <w:b/>
          <w:color w:val="auto"/>
          <w:sz w:val="22"/>
          <w:szCs w:val="22"/>
          <w:highlight w:val="none"/>
        </w:rPr>
        <w:t>）承销费</w:t>
      </w:r>
    </w:p>
    <w:p>
      <w:pPr>
        <w:wordWrap/>
        <w:spacing w:line="360" w:lineRule="auto"/>
        <w:ind w:left="0" w:leftChars="0" w:right="0" w:firstLine="440" w:firstLineChars="20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1.定义</w:t>
      </w:r>
    </w:p>
    <w:p>
      <w:pPr>
        <w:wordWrap/>
        <w:spacing w:line="360" w:lineRule="auto"/>
        <w:ind w:left="0" w:leftChars="0" w:right="0" w:firstLine="440" w:firstLineChars="20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承销费包括但不限于发债准备工作、制作申报材料并上报、与主管部门的沟通、完成债券注册、发行与销售、后期的支持与服务等以及因此产生的税费、服务费、利润及完成合同所需的所有除不可抗力之外的风险、责任等全部费用。</w:t>
      </w:r>
    </w:p>
    <w:p>
      <w:pPr>
        <w:wordWrap/>
        <w:spacing w:line="360" w:lineRule="auto"/>
        <w:ind w:left="0" w:leftChars="0" w:right="0" w:firstLine="440" w:firstLineChars="20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2.计算与支付</w:t>
      </w:r>
    </w:p>
    <w:p>
      <w:pPr>
        <w:wordWrap/>
        <w:spacing w:line="360" w:lineRule="auto"/>
        <w:ind w:left="0" w:leftChars="0" w:right="0" w:firstLine="440" w:firstLineChars="20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（1）单</w:t>
      </w:r>
      <w:r>
        <w:rPr>
          <w:rFonts w:hint="eastAsia" w:ascii="宋体" w:hAnsi="宋体" w:eastAsia="宋体" w:cs="宋体"/>
          <w:color w:val="auto"/>
          <w:sz w:val="22"/>
          <w:szCs w:val="22"/>
          <w:highlight w:val="none"/>
          <w:lang w:val="en-US" w:eastAsia="zh-CN"/>
        </w:rPr>
        <w:t>期</w:t>
      </w:r>
      <w:r>
        <w:rPr>
          <w:rFonts w:hint="eastAsia" w:ascii="宋体" w:hAnsi="宋体" w:eastAsia="宋体" w:cs="宋体"/>
          <w:color w:val="auto"/>
          <w:sz w:val="22"/>
          <w:szCs w:val="22"/>
          <w:highlight w:val="none"/>
        </w:rPr>
        <w:t>承销费=当期发行额*年承销费率*发行期限（天）/365。</w:t>
      </w:r>
    </w:p>
    <w:p>
      <w:pPr>
        <w:spacing w:line="5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）支付方式。承销费采用一次性支付的方式，每</w:t>
      </w:r>
      <w:r>
        <w:rPr>
          <w:rFonts w:hint="eastAsia" w:ascii="宋体" w:hAnsi="宋体" w:eastAsia="宋体" w:cs="宋体"/>
          <w:color w:val="auto"/>
          <w:sz w:val="22"/>
          <w:szCs w:val="22"/>
          <w:highlight w:val="none"/>
          <w:lang w:val="en-US" w:eastAsia="zh-CN"/>
        </w:rPr>
        <w:t>期</w:t>
      </w:r>
      <w:r>
        <w:rPr>
          <w:rFonts w:hint="eastAsia" w:ascii="宋体" w:hAnsi="宋体" w:eastAsia="宋体" w:cs="宋体"/>
          <w:color w:val="auto"/>
          <w:sz w:val="22"/>
          <w:szCs w:val="22"/>
          <w:highlight w:val="none"/>
        </w:rPr>
        <w:t>超短融承销费由簿记管理人在缴款日从募集资金中一次性扣收。</w:t>
      </w:r>
    </w:p>
    <w:p>
      <w:pPr>
        <w:pStyle w:val="16"/>
        <w:snapToGrid w:val="0"/>
        <w:spacing w:beforeLines="0" w:afterLines="0" w:line="460" w:lineRule="exact"/>
        <w:ind w:firstLine="600" w:firstLineChars="200"/>
        <w:jc w:val="left"/>
        <w:rPr>
          <w:rFonts w:hint="eastAsia" w:ascii="宋体" w:hAnsi="宋体" w:eastAsia="宋体" w:cs="宋体"/>
          <w:color w:val="auto"/>
          <w:sz w:val="30"/>
          <w:szCs w:val="30"/>
          <w:highlight w:val="none"/>
        </w:rPr>
      </w:pPr>
    </w:p>
    <w:p>
      <w:pPr>
        <w:spacing w:line="276"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22"/>
          <w:szCs w:val="22"/>
          <w:highlight w:val="none"/>
        </w:rPr>
        <w:br w:type="page"/>
      </w:r>
      <w:bookmarkStart w:id="297" w:name="_Toc75948407"/>
      <w:bookmarkStart w:id="298" w:name="_Toc13668"/>
      <w:bookmarkStart w:id="299" w:name="_Toc15002"/>
      <w:bookmarkStart w:id="300" w:name="_Toc18327"/>
      <w:bookmarkStart w:id="301" w:name="_Toc7708"/>
      <w:bookmarkStart w:id="302" w:name="_Toc29351"/>
      <w:bookmarkStart w:id="303" w:name="_Toc24779"/>
      <w:bookmarkStart w:id="304" w:name="_Toc30189"/>
      <w:r>
        <w:rPr>
          <w:rFonts w:hint="eastAsia" w:ascii="宋体" w:hAnsi="宋体" w:eastAsia="宋体" w:cs="宋体"/>
          <w:b/>
          <w:bCs/>
          <w:color w:val="auto"/>
          <w:sz w:val="36"/>
          <w:szCs w:val="36"/>
          <w:highlight w:val="none"/>
        </w:rPr>
        <w:t>第五部分   评标原则及方法</w:t>
      </w:r>
      <w:bookmarkEnd w:id="297"/>
      <w:bookmarkEnd w:id="298"/>
      <w:bookmarkEnd w:id="299"/>
      <w:bookmarkEnd w:id="300"/>
      <w:bookmarkEnd w:id="301"/>
      <w:bookmarkEnd w:id="302"/>
      <w:bookmarkEnd w:id="303"/>
      <w:bookmarkEnd w:id="304"/>
    </w:p>
    <w:p>
      <w:pPr>
        <w:pStyle w:val="9"/>
        <w:overflowPunct w:val="0"/>
        <w:spacing w:before="120"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一. 总  则</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采购文件的商务、技术要求，对</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进行综合评定，提出优选方案，编写评标报告。对落标单位，评委会不作任何落标解释。投标供应商不得以任何方式干扰招投标工作的进行，一经发现其</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将被拒绝。</w:t>
      </w:r>
    </w:p>
    <w:p>
      <w:pPr>
        <w:pStyle w:val="9"/>
        <w:overflowPunct w:val="0"/>
        <w:spacing w:before="120"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二、评标组织</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评标工作由采购人依法组建的评标委员会负责，评标全过程由有关部门指导监督。</w:t>
      </w:r>
    </w:p>
    <w:p>
      <w:pPr>
        <w:pStyle w:val="9"/>
        <w:overflowPunct w:val="0"/>
        <w:spacing w:before="120"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三、评标程序</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评标委员会对各投标供应商的投标资格进行审查；然后对合格投标供应商的商务技术文件进行评审；商务技术文件评审结束后即公布投标商务技术文件得分情况，之后开启报价文件；对报价文件评审后，根据综合评审结果，提交评审报告。</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2、投标文件递交截止时间止</w:t>
      </w:r>
      <w:r>
        <w:rPr>
          <w:rFonts w:hint="eastAsia" w:ascii="宋体" w:hAnsi="宋体" w:eastAsia="宋体" w:cs="宋体"/>
          <w:color w:val="auto"/>
          <w:sz w:val="22"/>
          <w:szCs w:val="22"/>
          <w:highlight w:val="none"/>
          <w:lang w:val="en-US" w:eastAsia="zh-CN"/>
        </w:rPr>
        <w:t>或</w:t>
      </w:r>
      <w:r>
        <w:rPr>
          <w:rFonts w:hint="eastAsia" w:ascii="宋体" w:hAnsi="宋体" w:eastAsia="宋体" w:cs="宋体"/>
          <w:color w:val="auto"/>
          <w:sz w:val="22"/>
          <w:szCs w:val="22"/>
          <w:highlight w:val="none"/>
        </w:rPr>
        <w:t>评审期间，出现有效投标供应商不足4家的情况，按</w:t>
      </w:r>
      <w:r>
        <w:rPr>
          <w:rFonts w:hint="eastAsia" w:ascii="宋体" w:hAnsi="宋体" w:eastAsia="宋体" w:cs="宋体"/>
          <w:color w:val="auto"/>
          <w:sz w:val="22"/>
          <w:szCs w:val="22"/>
          <w:highlight w:val="none"/>
          <w:lang w:val="en-US" w:eastAsia="zh-CN"/>
        </w:rPr>
        <w:t>废</w:t>
      </w:r>
      <w:r>
        <w:rPr>
          <w:rFonts w:hint="eastAsia" w:ascii="宋体" w:hAnsi="宋体" w:eastAsia="宋体" w:cs="宋体"/>
          <w:color w:val="auto"/>
          <w:sz w:val="22"/>
          <w:szCs w:val="22"/>
          <w:highlight w:val="none"/>
        </w:rPr>
        <w:t>标处理，重新组织采购。</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3、若投标供应商投标报价超出最高限价，作无效标处理。若所有投标供应商投标报价均超出最高限价，本项目做流标处理。</w:t>
      </w:r>
    </w:p>
    <w:p>
      <w:pPr>
        <w:overflowPunct w:val="0"/>
        <w:spacing w:line="360" w:lineRule="auto"/>
        <w:ind w:left="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4、询标</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中有含义不明确的内容、明显文字或计算错误，评标委员会认为需要投标供应商作出必要澄清、说明的，应当组织询标。</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凡是评标委员会拟做出否决投标认定的，须组织相关投标供应商询问核实。未进行询问核实的，不得做出否决投标的认定，投标供应商放弃询问核实机会的除外（投标供应商所留联系方式无法联系上、在规定的时限内投标供应商不参加询问核实活动或不予答复的）。</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（3）询标内容及投标供应商的澄清、说明应当采用书面形式，并不得超出</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的范围或者改变</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的实质性内容。</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（4）评标委员会不得暗示或者诱导投标供应商作出澄清、说明，不得接受投标供应商主动提出的澄清、说明。</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（5）投标供应商不得通过补充、修改或撤消</w:t>
      </w:r>
      <w:r>
        <w:rPr>
          <w:rFonts w:hint="eastAsia" w:ascii="宋体" w:hAnsi="宋体" w:eastAsia="宋体" w:cs="宋体"/>
          <w:color w:val="auto"/>
          <w:sz w:val="22"/>
          <w:szCs w:val="22"/>
          <w:highlight w:val="none"/>
          <w:lang w:eastAsia="zh-CN"/>
        </w:rPr>
        <w:t>投标文件</w:t>
      </w:r>
      <w:r>
        <w:rPr>
          <w:rFonts w:hint="eastAsia" w:ascii="宋体" w:hAnsi="宋体" w:eastAsia="宋体" w:cs="宋体"/>
          <w:color w:val="auto"/>
          <w:sz w:val="22"/>
          <w:szCs w:val="22"/>
          <w:highlight w:val="none"/>
        </w:rPr>
        <w:t>中的内容使其成为实质性响应的投标，投标供应商在投标截止时间以后不得提交任何资料作为评标依据。</w:t>
      </w:r>
    </w:p>
    <w:p>
      <w:pPr>
        <w:pStyle w:val="9"/>
        <w:overflowPunct w:val="0"/>
        <w:spacing w:before="120"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四、评标办法</w:t>
      </w:r>
    </w:p>
    <w:p>
      <w:pPr>
        <w:overflowPunct w:val="0"/>
        <w:spacing w:line="360" w:lineRule="auto"/>
        <w:ind w:firstLine="440" w:firstLineChars="200"/>
        <w:rPr>
          <w:rFonts w:hint="eastAsia" w:ascii="宋体" w:hAnsi="宋体" w:eastAsia="宋体" w:cs="宋体"/>
          <w:color w:val="auto"/>
          <w:sz w:val="22"/>
          <w:szCs w:val="22"/>
          <w:highlight w:val="none"/>
        </w:rPr>
      </w:pPr>
      <w:bookmarkStart w:id="305" w:name="_Hlk3468204"/>
      <w:r>
        <w:rPr>
          <w:rFonts w:hint="eastAsia" w:ascii="宋体" w:hAnsi="宋体" w:eastAsia="宋体" w:cs="宋体"/>
          <w:color w:val="auto"/>
          <w:sz w:val="22"/>
          <w:szCs w:val="22"/>
          <w:highlight w:val="none"/>
        </w:rPr>
        <w:t>本次采购采用综合评分法，</w:t>
      </w:r>
      <w:bookmarkEnd w:id="305"/>
      <w:r>
        <w:rPr>
          <w:rFonts w:hint="eastAsia" w:ascii="宋体" w:hAnsi="宋体" w:eastAsia="宋体" w:cs="宋体"/>
          <w:color w:val="auto"/>
          <w:sz w:val="22"/>
          <w:szCs w:val="22"/>
          <w:highlight w:val="none"/>
        </w:rPr>
        <w:t>即投标供应商最大限度地满足采购文件实质性要求的基础上，按照采购文件的各项因素进行综合评审，总分设定为100分，其中商务技术</w:t>
      </w:r>
      <w:r>
        <w:rPr>
          <w:rFonts w:hint="eastAsia" w:ascii="宋体" w:hAnsi="宋体" w:eastAsia="宋体" w:cs="宋体"/>
          <w:color w:val="auto"/>
          <w:sz w:val="22"/>
          <w:szCs w:val="22"/>
          <w:highlight w:val="none"/>
          <w:u w:val="single"/>
          <w:lang w:val="en-US" w:eastAsia="zh-CN"/>
        </w:rPr>
        <w:t>75</w:t>
      </w:r>
      <w:r>
        <w:rPr>
          <w:rFonts w:hint="eastAsia" w:ascii="宋体" w:hAnsi="宋体" w:eastAsia="宋体" w:cs="宋体"/>
          <w:color w:val="auto"/>
          <w:sz w:val="22"/>
          <w:szCs w:val="22"/>
          <w:highlight w:val="none"/>
        </w:rPr>
        <w:t>分（商务技术权值</w:t>
      </w:r>
      <w:r>
        <w:rPr>
          <w:rFonts w:hint="eastAsia" w:ascii="宋体" w:hAnsi="宋体" w:eastAsia="宋体" w:cs="宋体"/>
          <w:color w:val="auto"/>
          <w:sz w:val="22"/>
          <w:szCs w:val="22"/>
          <w:highlight w:val="none"/>
          <w:u w:val="single"/>
          <w:lang w:val="en-US" w:eastAsia="zh-CN"/>
        </w:rPr>
        <w:t>75</w:t>
      </w:r>
      <w:r>
        <w:rPr>
          <w:rFonts w:hint="eastAsia" w:ascii="宋体" w:hAnsi="宋体" w:eastAsia="宋体" w:cs="宋体"/>
          <w:color w:val="auto"/>
          <w:sz w:val="22"/>
          <w:szCs w:val="22"/>
          <w:highlight w:val="none"/>
        </w:rPr>
        <w:t>%），报价</w:t>
      </w:r>
      <w:r>
        <w:rPr>
          <w:rFonts w:hint="eastAsia" w:ascii="宋体" w:hAnsi="宋体" w:eastAsia="宋体" w:cs="宋体"/>
          <w:color w:val="auto"/>
          <w:sz w:val="22"/>
          <w:szCs w:val="22"/>
          <w:highlight w:val="none"/>
          <w:u w:val="single"/>
          <w:lang w:val="en-US" w:eastAsia="zh-CN"/>
        </w:rPr>
        <w:t>25</w:t>
      </w:r>
      <w:r>
        <w:rPr>
          <w:rFonts w:hint="eastAsia" w:ascii="宋体" w:hAnsi="宋体" w:eastAsia="宋体" w:cs="宋体"/>
          <w:color w:val="auto"/>
          <w:sz w:val="22"/>
          <w:szCs w:val="22"/>
          <w:highlight w:val="none"/>
        </w:rPr>
        <w:t>分（价格权值</w:t>
      </w:r>
      <w:r>
        <w:rPr>
          <w:rFonts w:hint="eastAsia" w:ascii="宋体" w:hAnsi="宋体" w:eastAsia="宋体" w:cs="宋体"/>
          <w:color w:val="auto"/>
          <w:sz w:val="22"/>
          <w:szCs w:val="22"/>
          <w:highlight w:val="none"/>
          <w:u w:val="single"/>
          <w:lang w:val="en-US" w:eastAsia="zh-CN"/>
        </w:rPr>
        <w:t>25</w:t>
      </w:r>
      <w:r>
        <w:rPr>
          <w:rFonts w:hint="eastAsia" w:ascii="宋体" w:hAnsi="宋体" w:eastAsia="宋体" w:cs="宋体"/>
          <w:color w:val="auto"/>
          <w:sz w:val="22"/>
          <w:szCs w:val="22"/>
          <w:highlight w:val="none"/>
        </w:rPr>
        <w:t>%）,各投标供应商的最终得</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rPr>
        <w:t>为商务技术分+报价分。</w:t>
      </w:r>
    </w:p>
    <w:p>
      <w:pPr>
        <w:pStyle w:val="9"/>
        <w:overflowPunct w:val="0"/>
        <w:spacing w:before="120"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五、评分细则</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商务技术分评分（</w:t>
      </w:r>
      <w:r>
        <w:rPr>
          <w:rFonts w:hint="eastAsia" w:ascii="宋体" w:hAnsi="宋体" w:eastAsia="宋体" w:cs="宋体"/>
          <w:b/>
          <w:bCs/>
          <w:i/>
          <w:iCs/>
          <w:color w:val="auto"/>
          <w:sz w:val="22"/>
          <w:szCs w:val="22"/>
          <w:highlight w:val="none"/>
        </w:rPr>
        <w:t>满分</w:t>
      </w:r>
      <w:r>
        <w:rPr>
          <w:rFonts w:hint="eastAsia" w:ascii="宋体" w:hAnsi="宋体" w:eastAsia="宋体" w:cs="宋体"/>
          <w:b/>
          <w:bCs/>
          <w:i/>
          <w:iCs/>
          <w:color w:val="auto"/>
          <w:sz w:val="22"/>
          <w:szCs w:val="22"/>
          <w:highlight w:val="none"/>
          <w:u w:val="single"/>
          <w:lang w:val="en-US" w:eastAsia="zh-CN"/>
        </w:rPr>
        <w:t>75</w:t>
      </w:r>
      <w:r>
        <w:rPr>
          <w:rFonts w:hint="eastAsia" w:ascii="宋体" w:hAnsi="宋体" w:eastAsia="宋体" w:cs="宋体"/>
          <w:b/>
          <w:bCs/>
          <w:i/>
          <w:iCs/>
          <w:color w:val="auto"/>
          <w:sz w:val="22"/>
          <w:szCs w:val="22"/>
          <w:highlight w:val="none"/>
        </w:rPr>
        <w:t>分</w:t>
      </w:r>
      <w:r>
        <w:rPr>
          <w:rFonts w:hint="eastAsia" w:ascii="宋体" w:hAnsi="宋体" w:eastAsia="宋体" w:cs="宋体"/>
          <w:color w:val="auto"/>
          <w:sz w:val="22"/>
          <w:szCs w:val="22"/>
          <w:highlight w:val="none"/>
        </w:rPr>
        <w:t>）</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评委成员按下列评分项目进行评定，每人一张评分计算表，由评标委员会成员各自评定打分并记实名。各评标委员会成员对各投标供应商的各项评分内容进行评审、独立打分，所有评标委员会成员的评分合计算术平均值为该投标供应商商务技术部分的最终得分（四舍五入，保留小数点后二位）。</w:t>
      </w:r>
    </w:p>
    <w:p>
      <w:pPr>
        <w:overflowPunct w:val="0"/>
        <w:spacing w:line="360" w:lineRule="auto"/>
        <w:ind w:firstLine="440" w:firstLineChars="200"/>
        <w:rPr>
          <w:rFonts w:hint="eastAsia" w:ascii="宋体" w:hAnsi="宋体" w:eastAsia="宋体" w:cs="宋体"/>
          <w:color w:val="auto"/>
          <w:sz w:val="22"/>
          <w:szCs w:val="22"/>
          <w:highlight w:val="none"/>
        </w:rPr>
        <w:sectPr>
          <w:footerReference r:id="rId6" w:type="default"/>
          <w:pgSz w:w="11906" w:h="16838"/>
          <w:pgMar w:top="1134" w:right="1247" w:bottom="992" w:left="1417" w:header="851" w:footer="850" w:gutter="0"/>
          <w:pgBorders>
            <w:top w:val="none" w:color="auto" w:sz="0" w:space="0"/>
            <w:left w:val="none" w:color="auto" w:sz="0" w:space="0"/>
            <w:bottom w:val="none" w:color="auto" w:sz="0" w:space="0"/>
            <w:right w:val="none" w:color="auto" w:sz="0" w:space="0"/>
          </w:pgBorders>
          <w:pgNumType w:fmt="decimal"/>
          <w:cols w:space="720" w:num="1"/>
          <w:docGrid w:linePitch="316" w:charSpace="0"/>
        </w:sectPr>
      </w:pPr>
    </w:p>
    <w:tbl>
      <w:tblPr>
        <w:tblStyle w:val="36"/>
        <w:tblW w:w="14864"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0"/>
        <w:gridCol w:w="3040"/>
        <w:gridCol w:w="620"/>
        <w:gridCol w:w="50"/>
        <w:gridCol w:w="1950"/>
        <w:gridCol w:w="2200"/>
        <w:gridCol w:w="2480"/>
        <w:gridCol w:w="3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2"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序号</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评分内容</w:t>
            </w:r>
          </w:p>
        </w:tc>
        <w:tc>
          <w:tcPr>
            <w:tcW w:w="6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分值</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A</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B</w:t>
            </w:r>
          </w:p>
        </w:tc>
        <w:tc>
          <w:tcPr>
            <w:tcW w:w="2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C</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4864"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承销能力(</w:t>
            </w:r>
            <w:r>
              <w:rPr>
                <w:rFonts w:hint="eastAsia" w:ascii="宋体" w:hAnsi="宋体" w:eastAsia="宋体" w:cs="宋体"/>
                <w:b/>
                <w:bCs/>
                <w:color w:val="auto"/>
                <w:kern w:val="0"/>
                <w:sz w:val="22"/>
                <w:szCs w:val="22"/>
                <w:highlight w:val="none"/>
                <w:lang w:val="en-US" w:eastAsia="zh-CN"/>
              </w:rPr>
              <w:t>45</w:t>
            </w:r>
            <w:r>
              <w:rPr>
                <w:rFonts w:hint="eastAsia" w:ascii="宋体" w:hAnsi="宋体" w:eastAsia="宋体" w:cs="宋体"/>
                <w:b/>
                <w:bCs/>
                <w:color w:val="auto"/>
                <w:kern w:val="0"/>
                <w:sz w:val="22"/>
                <w:szCs w:val="22"/>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4"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val="en-US" w:eastAsia="zh-CN"/>
              </w:rPr>
              <w:t>1</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20</w:t>
            </w:r>
            <w:r>
              <w:rPr>
                <w:rFonts w:hint="eastAsia" w:ascii="宋体" w:hAnsi="宋体" w:eastAsia="宋体" w:cs="宋体"/>
                <w:color w:val="auto"/>
                <w:kern w:val="0"/>
                <w:sz w:val="22"/>
                <w:szCs w:val="22"/>
                <w:highlight w:val="none"/>
                <w:lang w:val="en-US" w:eastAsia="zh-CN"/>
              </w:rPr>
              <w:t>21年1月1日</w:t>
            </w:r>
            <w:r>
              <w:rPr>
                <w:rFonts w:hint="eastAsia" w:ascii="宋体" w:hAnsi="宋体" w:eastAsia="宋体" w:cs="宋体"/>
                <w:color w:val="auto"/>
                <w:kern w:val="0"/>
                <w:sz w:val="22"/>
                <w:szCs w:val="22"/>
                <w:highlight w:val="none"/>
              </w:rPr>
              <w:t>-20</w:t>
            </w:r>
            <w:r>
              <w:rPr>
                <w:rFonts w:hint="eastAsia" w:ascii="宋体" w:hAnsi="宋体" w:eastAsia="宋体" w:cs="宋体"/>
                <w:color w:val="auto"/>
                <w:kern w:val="0"/>
                <w:sz w:val="22"/>
                <w:szCs w:val="22"/>
                <w:highlight w:val="none"/>
                <w:lang w:val="en-US" w:eastAsia="zh-CN"/>
              </w:rPr>
              <w:t>22</w:t>
            </w:r>
            <w:r>
              <w:rPr>
                <w:rFonts w:hint="eastAsia" w:ascii="宋体" w:hAnsi="宋体" w:eastAsia="宋体" w:cs="宋体"/>
                <w:color w:val="auto"/>
                <w:kern w:val="0"/>
                <w:sz w:val="22"/>
                <w:szCs w:val="22"/>
                <w:highlight w:val="none"/>
              </w:rPr>
              <w:t>年</w:t>
            </w:r>
            <w:r>
              <w:rPr>
                <w:rFonts w:hint="eastAsia" w:ascii="宋体" w:hAnsi="宋体" w:eastAsia="宋体" w:cs="宋体"/>
                <w:color w:val="auto"/>
                <w:kern w:val="0"/>
                <w:sz w:val="22"/>
                <w:szCs w:val="22"/>
                <w:highlight w:val="none"/>
                <w:lang w:val="en-US" w:eastAsia="zh-CN"/>
              </w:rPr>
              <w:t>12月31日浙江省信用债</w:t>
            </w:r>
            <w:r>
              <w:rPr>
                <w:rFonts w:hint="eastAsia" w:ascii="宋体" w:hAnsi="宋体" w:eastAsia="宋体" w:cs="宋体"/>
                <w:color w:val="auto"/>
                <w:kern w:val="0"/>
                <w:sz w:val="22"/>
                <w:szCs w:val="22"/>
                <w:highlight w:val="none"/>
              </w:rPr>
              <w:t>承销排名（NAFMⅡ）</w:t>
            </w:r>
          </w:p>
        </w:tc>
        <w:tc>
          <w:tcPr>
            <w:tcW w:w="6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24</w:t>
            </w:r>
          </w:p>
        </w:tc>
        <w:tc>
          <w:tcPr>
            <w:tcW w:w="663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根据有效投标供应商2021年1月1日-2022年12月31日主承销</w:t>
            </w:r>
            <w:r>
              <w:rPr>
                <w:rFonts w:hint="eastAsia" w:ascii="宋体" w:hAnsi="宋体" w:eastAsia="宋体" w:cs="宋体"/>
                <w:color w:val="auto"/>
                <w:sz w:val="22"/>
                <w:szCs w:val="22"/>
                <w:highlight w:val="none"/>
                <w:lang w:val="en-US" w:eastAsia="zh-CN"/>
              </w:rPr>
              <w:t>信用债</w:t>
            </w:r>
            <w:r>
              <w:rPr>
                <w:rFonts w:hint="eastAsia" w:ascii="宋体" w:hAnsi="宋体" w:eastAsia="宋体" w:cs="宋体"/>
                <w:color w:val="auto"/>
                <w:sz w:val="22"/>
                <w:szCs w:val="22"/>
                <w:highlight w:val="none"/>
              </w:rPr>
              <w:t>总金额现场排名，1-</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得12</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3-5</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得9</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6-10</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得6</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11-15</w:t>
            </w:r>
            <w:r>
              <w:rPr>
                <w:rFonts w:hint="eastAsia" w:ascii="宋体" w:hAnsi="宋体" w:eastAsia="宋体" w:cs="宋体"/>
                <w:color w:val="auto"/>
                <w:sz w:val="22"/>
                <w:szCs w:val="22"/>
                <w:highlight w:val="none"/>
              </w:rPr>
              <w:t>位</w:t>
            </w:r>
            <w:r>
              <w:rPr>
                <w:rFonts w:hint="eastAsia" w:ascii="宋体" w:hAnsi="宋体" w:eastAsia="宋体" w:cs="宋体"/>
                <w:color w:val="auto"/>
                <w:sz w:val="22"/>
                <w:szCs w:val="22"/>
                <w:highlight w:val="none"/>
                <w:lang w:val="en-US" w:eastAsia="zh-CN"/>
              </w:rPr>
              <w:t>的得3分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16</w:t>
            </w:r>
            <w:r>
              <w:rPr>
                <w:rFonts w:hint="eastAsia" w:ascii="宋体" w:hAnsi="宋体" w:eastAsia="宋体" w:cs="宋体"/>
                <w:color w:val="auto"/>
                <w:sz w:val="22"/>
                <w:szCs w:val="22"/>
                <w:highlight w:val="none"/>
              </w:rPr>
              <w:t>位</w:t>
            </w:r>
            <w:r>
              <w:rPr>
                <w:rFonts w:hint="eastAsia" w:ascii="宋体" w:hAnsi="宋体" w:eastAsia="宋体" w:cs="宋体"/>
                <w:color w:val="auto"/>
                <w:sz w:val="22"/>
                <w:szCs w:val="22"/>
                <w:highlight w:val="none"/>
                <w:lang w:val="en-US" w:eastAsia="zh-CN"/>
              </w:rPr>
              <w:t>及</w:t>
            </w:r>
            <w:r>
              <w:rPr>
                <w:rFonts w:hint="eastAsia" w:ascii="宋体" w:hAnsi="宋体" w:eastAsia="宋体" w:cs="宋体"/>
                <w:color w:val="auto"/>
                <w:sz w:val="22"/>
                <w:szCs w:val="22"/>
                <w:highlight w:val="none"/>
              </w:rPr>
              <w:t>以上得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p>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根据有效投标供应商2021年1月1日-2022年12月31日主承销</w:t>
            </w:r>
            <w:r>
              <w:rPr>
                <w:rFonts w:hint="eastAsia" w:ascii="宋体" w:hAnsi="宋体" w:eastAsia="宋体" w:cs="宋体"/>
                <w:color w:val="auto"/>
                <w:sz w:val="22"/>
                <w:szCs w:val="22"/>
                <w:highlight w:val="none"/>
                <w:lang w:val="en-US" w:eastAsia="zh-CN"/>
              </w:rPr>
              <w:t>信用债</w:t>
            </w:r>
            <w:r>
              <w:rPr>
                <w:rFonts w:hint="eastAsia" w:ascii="宋体" w:hAnsi="宋体" w:eastAsia="宋体" w:cs="宋体"/>
                <w:color w:val="auto"/>
                <w:sz w:val="22"/>
                <w:szCs w:val="22"/>
                <w:highlight w:val="none"/>
              </w:rPr>
              <w:t>总</w:t>
            </w:r>
            <w:r>
              <w:rPr>
                <w:rFonts w:hint="eastAsia" w:ascii="宋体" w:hAnsi="宋体" w:eastAsia="宋体" w:cs="宋体"/>
                <w:color w:val="auto"/>
                <w:sz w:val="22"/>
                <w:szCs w:val="22"/>
                <w:highlight w:val="none"/>
                <w:lang w:val="en-US" w:eastAsia="zh-CN"/>
              </w:rPr>
              <w:t>支数</w:t>
            </w:r>
            <w:r>
              <w:rPr>
                <w:rFonts w:hint="eastAsia" w:ascii="宋体" w:hAnsi="宋体" w:eastAsia="宋体" w:cs="宋体"/>
                <w:color w:val="auto"/>
                <w:sz w:val="22"/>
                <w:szCs w:val="22"/>
                <w:highlight w:val="none"/>
              </w:rPr>
              <w:t>现场排名，1-</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得12</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3-5</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得9</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6-10</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得6</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11-15</w:t>
            </w:r>
            <w:r>
              <w:rPr>
                <w:rFonts w:hint="eastAsia" w:ascii="宋体" w:hAnsi="宋体" w:eastAsia="宋体" w:cs="宋体"/>
                <w:color w:val="auto"/>
                <w:sz w:val="22"/>
                <w:szCs w:val="22"/>
                <w:highlight w:val="none"/>
              </w:rPr>
              <w:t>位</w:t>
            </w:r>
            <w:r>
              <w:rPr>
                <w:rFonts w:hint="eastAsia" w:ascii="宋体" w:hAnsi="宋体" w:eastAsia="宋体" w:cs="宋体"/>
                <w:color w:val="auto"/>
                <w:sz w:val="22"/>
                <w:szCs w:val="22"/>
                <w:highlight w:val="none"/>
                <w:lang w:val="en-US" w:eastAsia="zh-CN"/>
              </w:rPr>
              <w:t>的得3分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16</w:t>
            </w:r>
            <w:r>
              <w:rPr>
                <w:rFonts w:hint="eastAsia" w:ascii="宋体" w:hAnsi="宋体" w:eastAsia="宋体" w:cs="宋体"/>
                <w:color w:val="auto"/>
                <w:sz w:val="22"/>
                <w:szCs w:val="22"/>
                <w:highlight w:val="none"/>
              </w:rPr>
              <w:t>位</w:t>
            </w:r>
            <w:r>
              <w:rPr>
                <w:rFonts w:hint="eastAsia" w:ascii="宋体" w:hAnsi="宋体" w:eastAsia="宋体" w:cs="宋体"/>
                <w:color w:val="auto"/>
                <w:sz w:val="22"/>
                <w:szCs w:val="22"/>
                <w:highlight w:val="none"/>
                <w:lang w:val="en-US" w:eastAsia="zh-CN"/>
              </w:rPr>
              <w:t>及</w:t>
            </w:r>
            <w:r>
              <w:rPr>
                <w:rFonts w:hint="eastAsia" w:ascii="宋体" w:hAnsi="宋体" w:eastAsia="宋体" w:cs="宋体"/>
                <w:color w:val="auto"/>
                <w:sz w:val="22"/>
                <w:szCs w:val="22"/>
                <w:highlight w:val="none"/>
              </w:rPr>
              <w:t>以上得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p>
          <w:p>
            <w:pPr>
              <w:widowControl/>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2"/>
                <w:sz w:val="22"/>
                <w:szCs w:val="22"/>
                <w:highlight w:val="none"/>
                <w:lang w:val="en-US" w:eastAsia="zh-CN"/>
              </w:rPr>
              <w:t>若投标人未承销发行，本项不得分。</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提供</w:t>
            </w:r>
            <w:r>
              <w:rPr>
                <w:rFonts w:hint="eastAsia" w:ascii="宋体" w:hAnsi="宋体" w:eastAsia="宋体" w:cs="宋体"/>
                <w:color w:val="auto"/>
                <w:kern w:val="0"/>
                <w:sz w:val="22"/>
                <w:szCs w:val="22"/>
                <w:highlight w:val="none"/>
              </w:rPr>
              <w:t>万德网页截图打印件</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wind-债券专题-一级市场-承销统计-债券承销分地域排名-信用债地域分类（浙江）-机构类型（银行）-地域承销商排名提取进行排序）</w:t>
            </w:r>
            <w:r>
              <w:rPr>
                <w:rFonts w:hint="eastAsia" w:ascii="宋体" w:hAnsi="宋体" w:eastAsia="宋体" w:cs="宋体"/>
                <w:color w:val="auto"/>
                <w:kern w:val="0"/>
                <w:sz w:val="22"/>
                <w:szCs w:val="22"/>
                <w:highlight w:val="none"/>
              </w:rPr>
              <w:t>，并加盖投标供应商公章为依据</w:t>
            </w:r>
            <w:r>
              <w:rPr>
                <w:rFonts w:hint="eastAsia" w:ascii="宋体" w:hAnsi="宋体" w:eastAsia="宋体" w:cs="宋体"/>
                <w:color w:val="auto"/>
                <w:kern w:val="0"/>
                <w:sz w:val="22"/>
                <w:szCs w:val="22"/>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3"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2"/>
                <w:szCs w:val="22"/>
                <w:highlight w:val="none"/>
                <w:lang w:val="en-US" w:eastAsia="zh-CN"/>
              </w:rPr>
              <w:t>2</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2021年1月1日-2022年12月31日</w:t>
            </w:r>
            <w:r>
              <w:rPr>
                <w:rFonts w:hint="eastAsia" w:ascii="宋体" w:hAnsi="宋体" w:eastAsia="宋体" w:cs="宋体"/>
                <w:color w:val="auto"/>
                <w:kern w:val="0"/>
                <w:sz w:val="22"/>
                <w:szCs w:val="22"/>
                <w:highlight w:val="none"/>
                <w:lang w:val="en-US" w:eastAsia="zh-CN"/>
              </w:rPr>
              <w:t>温州市</w:t>
            </w:r>
            <w:r>
              <w:rPr>
                <w:rFonts w:hint="eastAsia" w:ascii="宋体" w:hAnsi="宋体" w:eastAsia="宋体" w:cs="宋体"/>
                <w:color w:val="auto"/>
                <w:kern w:val="0"/>
                <w:sz w:val="22"/>
                <w:szCs w:val="22"/>
                <w:highlight w:val="none"/>
              </w:rPr>
              <w:t>信用债承销排名（NAFMⅡ）</w:t>
            </w:r>
          </w:p>
        </w:tc>
        <w:tc>
          <w:tcPr>
            <w:tcW w:w="6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16</w:t>
            </w:r>
          </w:p>
        </w:tc>
        <w:tc>
          <w:tcPr>
            <w:tcW w:w="663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根据有效投标供应商2021年1月1日-2022年12月31日主承销信用债总金额现场排名，1-</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得8</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3-5</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得6</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6-10</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得4</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11-15</w:t>
            </w:r>
            <w:r>
              <w:rPr>
                <w:rFonts w:hint="eastAsia" w:ascii="宋体" w:hAnsi="宋体" w:eastAsia="宋体" w:cs="宋体"/>
                <w:color w:val="auto"/>
                <w:sz w:val="22"/>
                <w:szCs w:val="22"/>
                <w:highlight w:val="none"/>
              </w:rPr>
              <w:t>位</w:t>
            </w:r>
            <w:r>
              <w:rPr>
                <w:rFonts w:hint="eastAsia" w:ascii="宋体" w:hAnsi="宋体" w:eastAsia="宋体" w:cs="宋体"/>
                <w:color w:val="auto"/>
                <w:sz w:val="22"/>
                <w:szCs w:val="22"/>
                <w:highlight w:val="none"/>
                <w:lang w:val="en-US" w:eastAsia="zh-CN"/>
              </w:rPr>
              <w:t>的得2分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16</w:t>
            </w:r>
            <w:r>
              <w:rPr>
                <w:rFonts w:hint="eastAsia" w:ascii="宋体" w:hAnsi="宋体" w:eastAsia="宋体" w:cs="宋体"/>
                <w:color w:val="auto"/>
                <w:sz w:val="22"/>
                <w:szCs w:val="22"/>
                <w:highlight w:val="none"/>
              </w:rPr>
              <w:t>位</w:t>
            </w:r>
            <w:r>
              <w:rPr>
                <w:rFonts w:hint="eastAsia" w:ascii="宋体" w:hAnsi="宋体" w:eastAsia="宋体" w:cs="宋体"/>
                <w:color w:val="auto"/>
                <w:sz w:val="22"/>
                <w:szCs w:val="22"/>
                <w:highlight w:val="none"/>
                <w:lang w:val="en-US" w:eastAsia="zh-CN"/>
              </w:rPr>
              <w:t>及</w:t>
            </w:r>
            <w:r>
              <w:rPr>
                <w:rFonts w:hint="eastAsia" w:ascii="宋体" w:hAnsi="宋体" w:eastAsia="宋体" w:cs="宋体"/>
                <w:color w:val="auto"/>
                <w:sz w:val="22"/>
                <w:szCs w:val="22"/>
                <w:highlight w:val="none"/>
              </w:rPr>
              <w:t>以上得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p>
          <w:p>
            <w:pPr>
              <w:widowControl/>
              <w:jc w:val="left"/>
              <w:rPr>
                <w:rFonts w:hint="eastAsia" w:ascii="宋体" w:hAnsi="宋体" w:eastAsia="宋体" w:cs="宋体"/>
                <w:color w:val="auto"/>
                <w:kern w:val="2"/>
                <w:sz w:val="22"/>
                <w:szCs w:val="22"/>
                <w:highlight w:val="none"/>
              </w:rPr>
            </w:pPr>
            <w:r>
              <w:rPr>
                <w:rFonts w:hint="eastAsia" w:ascii="宋体" w:hAnsi="宋体" w:eastAsia="宋体" w:cs="宋体"/>
                <w:color w:val="auto"/>
                <w:sz w:val="22"/>
                <w:szCs w:val="22"/>
                <w:highlight w:val="none"/>
              </w:rPr>
              <w:t>根据有效投标供应商2021年1月1日-2022年12月31日主承销信用债总支数现场排名，1-</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得8</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3-5</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得6</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6-10</w:t>
            </w:r>
            <w:r>
              <w:rPr>
                <w:rFonts w:hint="eastAsia" w:ascii="宋体" w:hAnsi="宋体" w:eastAsia="宋体" w:cs="宋体"/>
                <w:color w:val="auto"/>
                <w:sz w:val="22"/>
                <w:szCs w:val="22"/>
                <w:highlight w:val="none"/>
              </w:rPr>
              <w:t>位的</w:t>
            </w:r>
            <w:r>
              <w:rPr>
                <w:rFonts w:hint="eastAsia" w:ascii="宋体" w:hAnsi="宋体" w:eastAsia="宋体" w:cs="宋体"/>
                <w:color w:val="auto"/>
                <w:sz w:val="22"/>
                <w:szCs w:val="22"/>
                <w:highlight w:val="none"/>
                <w:lang w:val="en-US" w:eastAsia="zh-CN"/>
              </w:rPr>
              <w:t>得4</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11-15</w:t>
            </w:r>
            <w:r>
              <w:rPr>
                <w:rFonts w:hint="eastAsia" w:ascii="宋体" w:hAnsi="宋体" w:eastAsia="宋体" w:cs="宋体"/>
                <w:color w:val="auto"/>
                <w:sz w:val="22"/>
                <w:szCs w:val="22"/>
                <w:highlight w:val="none"/>
              </w:rPr>
              <w:t>位</w:t>
            </w:r>
            <w:r>
              <w:rPr>
                <w:rFonts w:hint="eastAsia" w:ascii="宋体" w:hAnsi="宋体" w:eastAsia="宋体" w:cs="宋体"/>
                <w:color w:val="auto"/>
                <w:sz w:val="22"/>
                <w:szCs w:val="22"/>
                <w:highlight w:val="none"/>
                <w:lang w:val="en-US" w:eastAsia="zh-CN"/>
              </w:rPr>
              <w:t>的得2分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16</w:t>
            </w:r>
            <w:r>
              <w:rPr>
                <w:rFonts w:hint="eastAsia" w:ascii="宋体" w:hAnsi="宋体" w:eastAsia="宋体" w:cs="宋体"/>
                <w:color w:val="auto"/>
                <w:sz w:val="22"/>
                <w:szCs w:val="22"/>
                <w:highlight w:val="none"/>
              </w:rPr>
              <w:t>位</w:t>
            </w:r>
            <w:r>
              <w:rPr>
                <w:rFonts w:hint="eastAsia" w:ascii="宋体" w:hAnsi="宋体" w:eastAsia="宋体" w:cs="宋体"/>
                <w:color w:val="auto"/>
                <w:sz w:val="22"/>
                <w:szCs w:val="22"/>
                <w:highlight w:val="none"/>
                <w:lang w:val="en-US" w:eastAsia="zh-CN"/>
              </w:rPr>
              <w:t>及</w:t>
            </w:r>
            <w:r>
              <w:rPr>
                <w:rFonts w:hint="eastAsia" w:ascii="宋体" w:hAnsi="宋体" w:eastAsia="宋体" w:cs="宋体"/>
                <w:color w:val="auto"/>
                <w:sz w:val="22"/>
                <w:szCs w:val="22"/>
                <w:highlight w:val="none"/>
              </w:rPr>
              <w:t>以上得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p>
          <w:p>
            <w:pPr>
              <w:widowControl/>
              <w:jc w:val="lef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2"/>
                <w:sz w:val="22"/>
                <w:szCs w:val="22"/>
                <w:highlight w:val="none"/>
                <w:lang w:val="en-US" w:eastAsia="zh-CN"/>
              </w:rPr>
              <w:t>若投标人未承销发行，本项不得分。</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提供</w:t>
            </w:r>
            <w:r>
              <w:rPr>
                <w:rFonts w:hint="eastAsia" w:ascii="宋体" w:hAnsi="宋体" w:eastAsia="宋体" w:cs="宋体"/>
                <w:color w:val="auto"/>
                <w:kern w:val="0"/>
                <w:sz w:val="22"/>
                <w:szCs w:val="22"/>
                <w:highlight w:val="none"/>
              </w:rPr>
              <w:t>万德网页截图打印件</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wind-债券专题-一级市场-承销统计-债券承销分地域排名-信用债地域分类（温州）-机构类型（银行）-地域承销商排名提取进行排序）</w:t>
            </w:r>
            <w:r>
              <w:rPr>
                <w:rFonts w:hint="eastAsia" w:ascii="宋体" w:hAnsi="宋体" w:eastAsia="宋体" w:cs="宋体"/>
                <w:color w:val="auto"/>
                <w:kern w:val="0"/>
                <w:sz w:val="22"/>
                <w:szCs w:val="22"/>
                <w:highlight w:val="none"/>
              </w:rPr>
              <w:t>，并加盖投标供应商公章为依据</w:t>
            </w:r>
            <w:r>
              <w:rPr>
                <w:rFonts w:hint="eastAsia" w:ascii="宋体" w:hAnsi="宋体" w:eastAsia="宋体" w:cs="宋体"/>
                <w:color w:val="auto"/>
                <w:kern w:val="0"/>
                <w:sz w:val="22"/>
                <w:szCs w:val="22"/>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2"/>
                <w:szCs w:val="22"/>
                <w:highlight w:val="none"/>
                <w:lang w:val="en-US" w:eastAsia="zh-CN"/>
              </w:rPr>
              <w:t>3</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承销超短融历史利率情况</w:t>
            </w:r>
          </w:p>
        </w:tc>
        <w:tc>
          <w:tcPr>
            <w:tcW w:w="6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w:t>
            </w:r>
          </w:p>
        </w:tc>
        <w:tc>
          <w:tcPr>
            <w:tcW w:w="663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提供3单（不得多于3单或少于3单案例）于</w:t>
            </w:r>
            <w:r>
              <w:rPr>
                <w:rFonts w:hint="eastAsia" w:ascii="宋体" w:hAnsi="宋体" w:eastAsia="宋体" w:cs="宋体"/>
                <w:color w:val="auto"/>
                <w:kern w:val="0"/>
                <w:sz w:val="22"/>
                <w:szCs w:val="22"/>
                <w:highlight w:val="none"/>
              </w:rPr>
              <w:t>2021年1月1日-2022年12月31日</w:t>
            </w:r>
            <w:r>
              <w:rPr>
                <w:rFonts w:hint="eastAsia" w:ascii="宋体" w:hAnsi="宋体" w:eastAsia="宋体" w:cs="宋体"/>
                <w:color w:val="auto"/>
                <w:kern w:val="0"/>
                <w:sz w:val="22"/>
                <w:szCs w:val="22"/>
                <w:highlight w:val="none"/>
                <w:lang w:val="en-US" w:eastAsia="zh-CN"/>
              </w:rPr>
              <w:t>期间，投标人承销并发行成功的浙江省内AAA评级企业的超短期融资券案例（发行期限不低于250天），3单案例的票面利率算术平均值由低到高现场排名，利率最低的为该评分项排序第一名，</w:t>
            </w:r>
            <w:r>
              <w:rPr>
                <w:rFonts w:hint="eastAsia" w:ascii="宋体" w:hAnsi="宋体" w:eastAsia="宋体" w:cs="宋体"/>
                <w:color w:val="auto"/>
                <w:sz w:val="22"/>
                <w:szCs w:val="22"/>
                <w:highlight w:val="none"/>
              </w:rPr>
              <w:t>1-2位的</w:t>
            </w:r>
            <w:r>
              <w:rPr>
                <w:rFonts w:hint="eastAsia" w:ascii="宋体" w:hAnsi="宋体" w:eastAsia="宋体" w:cs="宋体"/>
                <w:color w:val="auto"/>
                <w:sz w:val="22"/>
                <w:szCs w:val="22"/>
                <w:highlight w:val="none"/>
                <w:lang w:val="en-US" w:eastAsia="zh-CN"/>
              </w:rPr>
              <w:t>得5</w:t>
            </w:r>
            <w:r>
              <w:rPr>
                <w:rFonts w:hint="eastAsia" w:ascii="宋体" w:hAnsi="宋体" w:eastAsia="宋体" w:cs="宋体"/>
                <w:color w:val="auto"/>
                <w:sz w:val="22"/>
                <w:szCs w:val="22"/>
                <w:highlight w:val="none"/>
              </w:rPr>
              <w:t>分，3-5位的</w:t>
            </w:r>
            <w:r>
              <w:rPr>
                <w:rFonts w:hint="eastAsia" w:ascii="宋体" w:hAnsi="宋体" w:eastAsia="宋体" w:cs="宋体"/>
                <w:color w:val="auto"/>
                <w:sz w:val="22"/>
                <w:szCs w:val="22"/>
                <w:highlight w:val="none"/>
                <w:lang w:val="en-US" w:eastAsia="zh-CN"/>
              </w:rPr>
              <w:t>得4</w:t>
            </w:r>
            <w:r>
              <w:rPr>
                <w:rFonts w:hint="eastAsia" w:ascii="宋体" w:hAnsi="宋体" w:eastAsia="宋体" w:cs="宋体"/>
                <w:color w:val="auto"/>
                <w:sz w:val="22"/>
                <w:szCs w:val="22"/>
                <w:highlight w:val="none"/>
              </w:rPr>
              <w:t>分，6-10位的</w:t>
            </w:r>
            <w:r>
              <w:rPr>
                <w:rFonts w:hint="eastAsia" w:ascii="宋体" w:hAnsi="宋体" w:eastAsia="宋体" w:cs="宋体"/>
                <w:color w:val="auto"/>
                <w:sz w:val="22"/>
                <w:szCs w:val="22"/>
                <w:highlight w:val="none"/>
                <w:lang w:val="en-US" w:eastAsia="zh-CN"/>
              </w:rPr>
              <w:t>得3</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11-15</w:t>
            </w:r>
            <w:r>
              <w:rPr>
                <w:rFonts w:hint="eastAsia" w:ascii="宋体" w:hAnsi="宋体" w:eastAsia="宋体" w:cs="宋体"/>
                <w:color w:val="auto"/>
                <w:sz w:val="22"/>
                <w:szCs w:val="22"/>
                <w:highlight w:val="none"/>
              </w:rPr>
              <w:t>位</w:t>
            </w:r>
            <w:r>
              <w:rPr>
                <w:rFonts w:hint="eastAsia" w:ascii="宋体" w:hAnsi="宋体" w:eastAsia="宋体" w:cs="宋体"/>
                <w:color w:val="auto"/>
                <w:sz w:val="22"/>
                <w:szCs w:val="22"/>
                <w:highlight w:val="none"/>
                <w:lang w:val="en-US" w:eastAsia="zh-CN"/>
              </w:rPr>
              <w:t>的得2分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位及以上得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p>
          <w:p>
            <w:pPr>
              <w:widowControl/>
              <w:jc w:val="left"/>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若投标人提供符合上述要求的超短期融资券案例</w:t>
            </w:r>
            <w:r>
              <w:rPr>
                <w:rFonts w:hint="eastAsia" w:ascii="宋体" w:hAnsi="宋体" w:eastAsia="宋体" w:cs="宋体"/>
                <w:b/>
                <w:bCs/>
                <w:color w:val="auto"/>
                <w:kern w:val="0"/>
                <w:sz w:val="22"/>
                <w:szCs w:val="22"/>
                <w:highlight w:val="none"/>
                <w:lang w:val="en-US" w:eastAsia="zh-CN"/>
              </w:rPr>
              <w:t>不等于</w:t>
            </w:r>
            <w:r>
              <w:rPr>
                <w:rFonts w:hint="eastAsia" w:ascii="宋体" w:hAnsi="宋体" w:eastAsia="宋体" w:cs="宋体"/>
                <w:color w:val="auto"/>
                <w:kern w:val="0"/>
                <w:sz w:val="22"/>
                <w:szCs w:val="22"/>
                <w:highlight w:val="none"/>
                <w:lang w:val="en-US" w:eastAsia="zh-CN"/>
              </w:rPr>
              <w:t>3个，本项不得分。</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提供</w:t>
            </w:r>
            <w:r>
              <w:rPr>
                <w:rFonts w:hint="eastAsia" w:ascii="宋体" w:hAnsi="宋体" w:eastAsia="宋体" w:cs="宋体"/>
                <w:color w:val="auto"/>
                <w:kern w:val="0"/>
                <w:sz w:val="22"/>
                <w:szCs w:val="22"/>
                <w:highlight w:val="none"/>
              </w:rPr>
              <w:t>万德网页截图打印件</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查询路径：wind-债券专题-一级市场-发行统计-债券发行统计（按地区）-债券分类（NAFMII）超短期融资券—提取浙江数据</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，并加盖投标供应商公章为依据</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截图需包含投标机构名称，未包含机构名称的不得分</w:t>
            </w:r>
            <w:r>
              <w:rPr>
                <w:rFonts w:hint="eastAsia" w:ascii="宋体" w:hAnsi="宋体" w:eastAsia="宋体" w:cs="宋体"/>
                <w:color w:val="auto"/>
                <w:kern w:val="0"/>
                <w:sz w:val="22"/>
                <w:szCs w:val="22"/>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4864"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服务方案(</w:t>
            </w:r>
            <w:r>
              <w:rPr>
                <w:rFonts w:hint="eastAsia" w:ascii="宋体" w:hAnsi="宋体" w:eastAsia="宋体" w:cs="宋体"/>
                <w:b/>
                <w:bCs/>
                <w:color w:val="auto"/>
                <w:kern w:val="0"/>
                <w:sz w:val="22"/>
                <w:szCs w:val="22"/>
                <w:highlight w:val="none"/>
                <w:lang w:val="en-US" w:eastAsia="zh-CN"/>
              </w:rPr>
              <w:t>30</w:t>
            </w:r>
            <w:r>
              <w:rPr>
                <w:rFonts w:hint="eastAsia" w:ascii="宋体" w:hAnsi="宋体" w:eastAsia="宋体" w:cs="宋体"/>
                <w:b/>
                <w:bCs/>
                <w:color w:val="auto"/>
                <w:kern w:val="0"/>
                <w:sz w:val="22"/>
                <w:szCs w:val="22"/>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val="en-US" w:eastAsia="zh-CN"/>
              </w:rPr>
              <w:t>4</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项目负责人</w:t>
            </w:r>
            <w:r>
              <w:rPr>
                <w:rFonts w:hint="eastAsia" w:ascii="宋体" w:hAnsi="宋体" w:eastAsia="宋体" w:cs="宋体"/>
                <w:color w:val="auto"/>
                <w:kern w:val="0"/>
                <w:sz w:val="22"/>
                <w:szCs w:val="22"/>
                <w:highlight w:val="none"/>
                <w:lang w:val="en-US" w:eastAsia="zh-CN"/>
              </w:rPr>
              <w:t>及</w:t>
            </w:r>
            <w:r>
              <w:rPr>
                <w:rFonts w:hint="eastAsia" w:ascii="宋体" w:hAnsi="宋体" w:eastAsia="宋体" w:cs="宋体"/>
                <w:color w:val="auto"/>
                <w:kern w:val="0"/>
                <w:sz w:val="22"/>
                <w:szCs w:val="22"/>
                <w:highlight w:val="none"/>
              </w:rPr>
              <w:t>项目人员配置及分工资历情况</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val="en-US" w:eastAsia="zh-CN"/>
              </w:rPr>
              <w:t>3</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-1</w:t>
            </w:r>
          </w:p>
        </w:tc>
        <w:tc>
          <w:tcPr>
            <w:tcW w:w="2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项目负责人</w:t>
            </w:r>
            <w:r>
              <w:rPr>
                <w:rFonts w:hint="eastAsia" w:ascii="宋体" w:hAnsi="宋体" w:eastAsia="宋体" w:cs="宋体"/>
                <w:color w:val="auto"/>
                <w:kern w:val="0"/>
                <w:sz w:val="22"/>
                <w:szCs w:val="22"/>
                <w:highlight w:val="none"/>
                <w:lang w:val="en-US" w:eastAsia="zh-CN"/>
              </w:rPr>
              <w:t>及</w:t>
            </w:r>
            <w:r>
              <w:rPr>
                <w:rFonts w:hint="eastAsia" w:ascii="宋体" w:hAnsi="宋体" w:eastAsia="宋体" w:cs="宋体"/>
                <w:color w:val="auto"/>
                <w:kern w:val="0"/>
                <w:sz w:val="22"/>
                <w:szCs w:val="22"/>
                <w:highlight w:val="none"/>
              </w:rPr>
              <w:t>配置人员的履历、资格、业绩、荣誉和对接本项目的分支机构情况横向比较，酌情打分；需提供业绩证明、资质证书等</w:t>
            </w:r>
            <w:r>
              <w:rPr>
                <w:rFonts w:hint="eastAsia" w:ascii="宋体" w:hAnsi="宋体" w:eastAsia="宋体" w:cs="宋体"/>
                <w:color w:val="auto"/>
                <w:kern w:val="0"/>
                <w:sz w:val="22"/>
                <w:szCs w:val="22"/>
                <w:highlight w:val="none"/>
                <w:lang w:val="en-US" w:eastAsia="zh-CN"/>
              </w:rPr>
              <w:t>情况</w:t>
            </w:r>
            <w:r>
              <w:rPr>
                <w:rFonts w:hint="eastAsia" w:ascii="宋体" w:hAnsi="宋体" w:eastAsia="宋体" w:cs="宋体"/>
                <w:color w:val="auto"/>
                <w:kern w:val="0"/>
                <w:sz w:val="22"/>
                <w:szCs w:val="22"/>
                <w:highlight w:val="none"/>
              </w:rPr>
              <w:t>加盖投标供应商公章为依据</w:t>
            </w:r>
            <w:r>
              <w:rPr>
                <w:rFonts w:hint="eastAsia" w:ascii="宋体" w:hAnsi="宋体" w:eastAsia="宋体" w:cs="宋体"/>
                <w:color w:val="auto"/>
                <w:kern w:val="0"/>
                <w:sz w:val="22"/>
                <w:szCs w:val="22"/>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val="en-US" w:eastAsia="zh-CN"/>
              </w:rPr>
              <w:t>5</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投标供应商履约能力</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5</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val="en-US" w:eastAsia="zh-CN"/>
              </w:rPr>
              <w:t>3</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-1</w:t>
            </w:r>
          </w:p>
        </w:tc>
        <w:tc>
          <w:tcPr>
            <w:tcW w:w="2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投债资金渠道、自投比例、案例分析</w:t>
            </w:r>
            <w:r>
              <w:rPr>
                <w:rFonts w:hint="eastAsia" w:ascii="宋体" w:hAnsi="宋体" w:eastAsia="宋体" w:cs="宋体"/>
                <w:color w:val="auto"/>
                <w:kern w:val="0"/>
                <w:sz w:val="22"/>
                <w:szCs w:val="22"/>
                <w:highlight w:val="none"/>
              </w:rPr>
              <w:t>等</w:t>
            </w:r>
            <w:r>
              <w:rPr>
                <w:rFonts w:hint="eastAsia" w:ascii="宋体" w:hAnsi="宋体" w:eastAsia="宋体" w:cs="宋体"/>
                <w:color w:val="auto"/>
                <w:kern w:val="0"/>
                <w:sz w:val="22"/>
                <w:szCs w:val="22"/>
                <w:highlight w:val="none"/>
                <w:lang w:val="en-US" w:eastAsia="zh-CN"/>
              </w:rPr>
              <w:t>情况</w:t>
            </w:r>
            <w:r>
              <w:rPr>
                <w:rFonts w:hint="eastAsia" w:ascii="宋体" w:hAnsi="宋体" w:eastAsia="宋体" w:cs="宋体"/>
                <w:color w:val="auto"/>
                <w:kern w:val="0"/>
                <w:sz w:val="22"/>
                <w:szCs w:val="22"/>
                <w:highlight w:val="none"/>
              </w:rPr>
              <w:t>加盖投标供应商公章为依据</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横向比较，酌情打分</w:t>
            </w:r>
            <w:r>
              <w:rPr>
                <w:rFonts w:hint="eastAsia" w:ascii="宋体" w:hAnsi="宋体" w:eastAsia="宋体" w:cs="宋体"/>
                <w:color w:val="auto"/>
                <w:kern w:val="0"/>
                <w:sz w:val="22"/>
                <w:szCs w:val="22"/>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val="en-US" w:eastAsia="zh-CN"/>
              </w:rPr>
              <w:t>6</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投标供应商</w:t>
            </w:r>
            <w:r>
              <w:rPr>
                <w:rFonts w:hint="eastAsia" w:ascii="宋体" w:hAnsi="宋体" w:eastAsia="宋体" w:cs="宋体"/>
                <w:color w:val="auto"/>
                <w:kern w:val="0"/>
                <w:sz w:val="22"/>
                <w:szCs w:val="22"/>
                <w:highlight w:val="none"/>
              </w:rPr>
              <w:t>与</w:t>
            </w:r>
            <w:r>
              <w:rPr>
                <w:rFonts w:hint="eastAsia" w:ascii="宋体" w:hAnsi="宋体" w:eastAsia="宋体" w:cs="宋体"/>
                <w:color w:val="auto"/>
                <w:kern w:val="0"/>
                <w:sz w:val="22"/>
                <w:szCs w:val="22"/>
                <w:highlight w:val="none"/>
                <w:lang w:val="en-US" w:eastAsia="zh-CN"/>
              </w:rPr>
              <w:t>中国</w:t>
            </w:r>
            <w:r>
              <w:rPr>
                <w:rFonts w:hint="eastAsia" w:ascii="宋体" w:hAnsi="宋体" w:eastAsia="宋体" w:cs="宋体"/>
                <w:color w:val="auto"/>
                <w:kern w:val="0"/>
                <w:sz w:val="22"/>
                <w:szCs w:val="22"/>
                <w:highlight w:val="none"/>
              </w:rPr>
              <w:t>银行间</w:t>
            </w:r>
            <w:r>
              <w:rPr>
                <w:rFonts w:hint="eastAsia" w:ascii="宋体" w:hAnsi="宋体" w:eastAsia="宋体" w:cs="宋体"/>
                <w:color w:val="auto"/>
                <w:kern w:val="0"/>
                <w:sz w:val="22"/>
                <w:szCs w:val="22"/>
                <w:highlight w:val="none"/>
                <w:lang w:val="en-US" w:eastAsia="zh-CN"/>
              </w:rPr>
              <w:t>市场</w:t>
            </w:r>
            <w:r>
              <w:rPr>
                <w:rFonts w:hint="eastAsia" w:ascii="宋体" w:hAnsi="宋体" w:eastAsia="宋体" w:cs="宋体"/>
                <w:color w:val="auto"/>
                <w:kern w:val="0"/>
                <w:sz w:val="22"/>
                <w:szCs w:val="22"/>
                <w:highlight w:val="none"/>
              </w:rPr>
              <w:t>交易商协会沟通能力</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5</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val="en-US" w:eastAsia="zh-CN"/>
              </w:rPr>
              <w:t>3</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-1</w:t>
            </w:r>
          </w:p>
        </w:tc>
        <w:tc>
          <w:tcPr>
            <w:tcW w:w="2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投标供应商总行及分支机构仍在中国</w:t>
            </w:r>
            <w:r>
              <w:rPr>
                <w:rFonts w:hint="eastAsia" w:ascii="宋体" w:hAnsi="宋体" w:eastAsia="宋体" w:cs="宋体"/>
                <w:color w:val="auto"/>
                <w:kern w:val="0"/>
                <w:sz w:val="22"/>
                <w:szCs w:val="22"/>
                <w:highlight w:val="none"/>
              </w:rPr>
              <w:t>银行间</w:t>
            </w:r>
            <w:r>
              <w:rPr>
                <w:rFonts w:hint="eastAsia" w:ascii="宋体" w:hAnsi="宋体" w:eastAsia="宋体" w:cs="宋体"/>
                <w:color w:val="auto"/>
                <w:kern w:val="0"/>
                <w:sz w:val="22"/>
                <w:szCs w:val="22"/>
                <w:highlight w:val="none"/>
                <w:lang w:val="en-US" w:eastAsia="zh-CN"/>
              </w:rPr>
              <w:t>市场</w:t>
            </w:r>
            <w:r>
              <w:rPr>
                <w:rFonts w:hint="eastAsia" w:ascii="宋体" w:hAnsi="宋体" w:eastAsia="宋体" w:cs="宋体"/>
                <w:color w:val="auto"/>
                <w:kern w:val="0"/>
                <w:sz w:val="22"/>
                <w:szCs w:val="22"/>
                <w:highlight w:val="none"/>
              </w:rPr>
              <w:t>交易商协会借调</w:t>
            </w:r>
            <w:r>
              <w:rPr>
                <w:rFonts w:hint="eastAsia" w:ascii="宋体" w:hAnsi="宋体" w:eastAsia="宋体" w:cs="宋体"/>
                <w:color w:val="auto"/>
                <w:kern w:val="0"/>
                <w:sz w:val="22"/>
                <w:szCs w:val="22"/>
                <w:highlight w:val="none"/>
                <w:lang w:val="en-US" w:eastAsia="zh-CN"/>
              </w:rPr>
              <w:t>期内的专家</w:t>
            </w:r>
            <w:r>
              <w:rPr>
                <w:rFonts w:hint="eastAsia" w:ascii="宋体" w:hAnsi="宋体" w:eastAsia="宋体" w:cs="宋体"/>
                <w:color w:val="auto"/>
                <w:kern w:val="0"/>
                <w:sz w:val="22"/>
                <w:szCs w:val="22"/>
                <w:highlight w:val="none"/>
              </w:rPr>
              <w:t>及</w:t>
            </w:r>
            <w:r>
              <w:rPr>
                <w:rFonts w:hint="eastAsia" w:ascii="宋体" w:hAnsi="宋体" w:eastAsia="宋体" w:cs="宋体"/>
                <w:color w:val="auto"/>
                <w:kern w:val="0"/>
                <w:sz w:val="22"/>
                <w:szCs w:val="22"/>
                <w:highlight w:val="none"/>
                <w:lang w:val="en-US" w:eastAsia="zh-CN"/>
              </w:rPr>
              <w:t>总行及分支机构</w:t>
            </w:r>
            <w:r>
              <w:rPr>
                <w:rFonts w:hint="eastAsia" w:ascii="宋体" w:hAnsi="宋体" w:eastAsia="宋体" w:cs="宋体"/>
                <w:color w:val="auto"/>
                <w:kern w:val="0"/>
                <w:sz w:val="22"/>
                <w:szCs w:val="22"/>
                <w:highlight w:val="none"/>
              </w:rPr>
              <w:t>目前注册专家</w:t>
            </w:r>
            <w:r>
              <w:rPr>
                <w:rFonts w:hint="eastAsia" w:ascii="宋体" w:hAnsi="宋体" w:eastAsia="宋体" w:cs="宋体"/>
                <w:color w:val="auto"/>
                <w:kern w:val="0"/>
                <w:sz w:val="22"/>
                <w:szCs w:val="22"/>
                <w:highlight w:val="none"/>
                <w:lang w:val="en-US" w:eastAsia="zh-CN"/>
              </w:rPr>
              <w:t>等</w:t>
            </w:r>
            <w:r>
              <w:rPr>
                <w:rFonts w:hint="eastAsia" w:ascii="宋体" w:hAnsi="宋体" w:eastAsia="宋体" w:cs="宋体"/>
                <w:color w:val="auto"/>
                <w:kern w:val="0"/>
                <w:sz w:val="22"/>
                <w:szCs w:val="22"/>
                <w:highlight w:val="none"/>
              </w:rPr>
              <w:t>情况，横向比较，酌情打分；需提供</w:t>
            </w:r>
            <w:r>
              <w:rPr>
                <w:rFonts w:hint="eastAsia" w:ascii="宋体" w:hAnsi="宋体" w:eastAsia="宋体" w:cs="宋体"/>
                <w:color w:val="auto"/>
                <w:kern w:val="0"/>
                <w:sz w:val="22"/>
                <w:szCs w:val="22"/>
                <w:highlight w:val="none"/>
                <w:lang w:val="en-US" w:eastAsia="zh-CN"/>
              </w:rPr>
              <w:t>相关资料（如中国</w:t>
            </w:r>
            <w:r>
              <w:rPr>
                <w:rFonts w:hint="eastAsia" w:ascii="宋体" w:hAnsi="宋体" w:eastAsia="宋体" w:cs="宋体"/>
                <w:color w:val="auto"/>
                <w:kern w:val="0"/>
                <w:sz w:val="22"/>
                <w:szCs w:val="22"/>
                <w:highlight w:val="none"/>
              </w:rPr>
              <w:t>银行间</w:t>
            </w:r>
            <w:r>
              <w:rPr>
                <w:rFonts w:hint="eastAsia" w:ascii="宋体" w:hAnsi="宋体" w:eastAsia="宋体" w:cs="宋体"/>
                <w:color w:val="auto"/>
                <w:kern w:val="0"/>
                <w:sz w:val="22"/>
                <w:szCs w:val="22"/>
                <w:highlight w:val="none"/>
                <w:lang w:val="en-US" w:eastAsia="zh-CN"/>
              </w:rPr>
              <w:t>市场</w:t>
            </w:r>
            <w:r>
              <w:rPr>
                <w:rFonts w:hint="eastAsia" w:ascii="宋体" w:hAnsi="宋体" w:eastAsia="宋体" w:cs="宋体"/>
                <w:color w:val="auto"/>
                <w:kern w:val="0"/>
                <w:sz w:val="22"/>
                <w:szCs w:val="22"/>
                <w:highlight w:val="none"/>
              </w:rPr>
              <w:t>交易商协会借调函</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第二届交易专业委员会委员名单公告文件</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等</w:t>
            </w:r>
            <w:r>
              <w:rPr>
                <w:rFonts w:hint="eastAsia" w:ascii="宋体" w:hAnsi="宋体" w:eastAsia="宋体" w:cs="宋体"/>
                <w:color w:val="auto"/>
                <w:sz w:val="22"/>
                <w:szCs w:val="22"/>
                <w:highlight w:val="none"/>
                <w:lang w:eastAsia="zh-CN"/>
              </w:rPr>
              <w:t>复制件</w:t>
            </w:r>
            <w:r>
              <w:rPr>
                <w:rFonts w:hint="eastAsia" w:ascii="宋体" w:hAnsi="宋体" w:eastAsia="宋体" w:cs="宋体"/>
                <w:color w:val="auto"/>
                <w:kern w:val="0"/>
                <w:sz w:val="22"/>
                <w:szCs w:val="22"/>
                <w:highlight w:val="none"/>
              </w:rPr>
              <w:t>加盖投标供应商公章为依据</w:t>
            </w:r>
            <w:r>
              <w:rPr>
                <w:rFonts w:hint="eastAsia" w:ascii="宋体" w:hAnsi="宋体" w:eastAsia="宋体" w:cs="宋体"/>
                <w:color w:val="auto"/>
                <w:kern w:val="0"/>
                <w:sz w:val="22"/>
                <w:szCs w:val="22"/>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2"/>
                <w:szCs w:val="22"/>
                <w:highlight w:val="none"/>
                <w:lang w:val="en-US" w:eastAsia="zh-CN"/>
              </w:rPr>
              <w:t>7</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投标供应商提供的</w:t>
            </w:r>
            <w:r>
              <w:rPr>
                <w:rFonts w:hint="eastAsia" w:ascii="宋体" w:hAnsi="宋体" w:eastAsia="宋体" w:cs="宋体"/>
                <w:color w:val="auto"/>
                <w:kern w:val="0"/>
                <w:sz w:val="22"/>
                <w:szCs w:val="22"/>
                <w:highlight w:val="none"/>
              </w:rPr>
              <w:t>发行方案的优化</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val="en-US" w:eastAsia="zh-CN"/>
              </w:rPr>
              <w:t>3</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-1</w:t>
            </w:r>
          </w:p>
        </w:tc>
        <w:tc>
          <w:tcPr>
            <w:tcW w:w="2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rPr>
              <w:t>1-0</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根据发行方案及服务内容是否详实具体、可操作性强，是否有针对性优化建议等情况，横向比较，酌情打分。需提供方案及其他说明材料加盖投标供应商公章</w:t>
            </w:r>
            <w:r>
              <w:rPr>
                <w:rFonts w:hint="eastAsia" w:ascii="宋体" w:hAnsi="宋体" w:eastAsia="宋体" w:cs="宋体"/>
                <w:color w:val="auto"/>
                <w:kern w:val="0"/>
                <w:sz w:val="22"/>
                <w:szCs w:val="22"/>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3"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val="en-US" w:eastAsia="zh-CN"/>
              </w:rPr>
              <w:t>8</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其他说明</w:t>
            </w:r>
            <w:r>
              <w:rPr>
                <w:rFonts w:hint="eastAsia" w:ascii="宋体" w:hAnsi="宋体" w:eastAsia="宋体" w:cs="宋体"/>
                <w:color w:val="auto"/>
                <w:kern w:val="0"/>
                <w:sz w:val="22"/>
                <w:szCs w:val="22"/>
                <w:highlight w:val="none"/>
              </w:rPr>
              <w:t>（对企业的了解</w:t>
            </w:r>
            <w:r>
              <w:rPr>
                <w:rFonts w:hint="eastAsia" w:ascii="宋体" w:hAnsi="宋体" w:eastAsia="宋体" w:cs="宋体"/>
                <w:color w:val="auto"/>
                <w:kern w:val="0"/>
                <w:sz w:val="22"/>
                <w:szCs w:val="22"/>
                <w:highlight w:val="none"/>
                <w:lang w:val="en-US" w:eastAsia="zh-CN"/>
              </w:rPr>
              <w:t>及历史合作情况</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增值服务</w:t>
            </w:r>
            <w:r>
              <w:rPr>
                <w:rFonts w:hint="eastAsia" w:ascii="宋体" w:hAnsi="宋体" w:eastAsia="宋体" w:cs="宋体"/>
                <w:color w:val="auto"/>
                <w:kern w:val="0"/>
                <w:sz w:val="22"/>
                <w:szCs w:val="22"/>
                <w:highlight w:val="none"/>
              </w:rPr>
              <w:t>等）</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5</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val="en-US" w:eastAsia="zh-CN"/>
              </w:rPr>
              <w:t>3</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-1</w:t>
            </w:r>
          </w:p>
        </w:tc>
        <w:tc>
          <w:tcPr>
            <w:tcW w:w="2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其他说明材料加盖投标供应商公章</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横向比较，酌情打分</w:t>
            </w:r>
            <w:r>
              <w:rPr>
                <w:rFonts w:hint="eastAsia" w:ascii="宋体" w:hAnsi="宋体" w:eastAsia="宋体" w:cs="宋体"/>
                <w:color w:val="auto"/>
                <w:kern w:val="0"/>
                <w:sz w:val="22"/>
                <w:szCs w:val="22"/>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3"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2"/>
                <w:szCs w:val="22"/>
                <w:highlight w:val="none"/>
                <w:lang w:val="en-US" w:eastAsia="zh-CN"/>
              </w:rPr>
              <w:t>9</w:t>
            </w:r>
          </w:p>
        </w:tc>
        <w:tc>
          <w:tcPr>
            <w:tcW w:w="30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SA"/>
              </w:rPr>
              <w:t>本期债券主承销商取得总行或省分行投债授信批复</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w:t>
            </w:r>
          </w:p>
        </w:tc>
        <w:tc>
          <w:tcPr>
            <w:tcW w:w="668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投标供应商本期投资债券额度</w:t>
            </w:r>
            <w:r>
              <w:rPr>
                <w:rFonts w:hint="eastAsia" w:ascii="宋体" w:hAnsi="宋体" w:eastAsia="宋体" w:cs="宋体"/>
                <w:color w:val="auto"/>
                <w:kern w:val="0"/>
                <w:sz w:val="22"/>
                <w:szCs w:val="22"/>
                <w:highlight w:val="none"/>
                <w:lang w:eastAsia="zh-CN"/>
              </w:rPr>
              <w:t>：</w:t>
            </w:r>
          </w:p>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1</w:t>
            </w:r>
            <w:r>
              <w:rPr>
                <w:rFonts w:hint="eastAsia" w:ascii="宋体" w:hAnsi="宋体" w:eastAsia="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亿元（含）及以上得</w:t>
            </w:r>
            <w:r>
              <w:rPr>
                <w:rFonts w:hint="eastAsia" w:ascii="宋体" w:hAnsi="宋体" w:eastAsia="宋体" w:cs="宋体"/>
                <w:color w:val="auto"/>
                <w:kern w:val="0"/>
                <w:sz w:val="22"/>
                <w:szCs w:val="22"/>
                <w:highlight w:val="none"/>
                <w:lang w:eastAsia="zh-CN"/>
              </w:rPr>
              <w:t>5</w:t>
            </w:r>
            <w:r>
              <w:rPr>
                <w:rFonts w:hint="eastAsia" w:ascii="宋体" w:hAnsi="宋体" w:eastAsia="宋体" w:cs="宋体"/>
                <w:color w:val="auto"/>
                <w:kern w:val="0"/>
                <w:sz w:val="22"/>
                <w:szCs w:val="22"/>
                <w:highlight w:val="none"/>
              </w:rPr>
              <w:t>分</w:t>
            </w:r>
            <w:r>
              <w:rPr>
                <w:rFonts w:hint="eastAsia" w:ascii="宋体" w:hAnsi="宋体" w:eastAsia="宋体" w:cs="宋体"/>
                <w:color w:val="auto"/>
                <w:kern w:val="0"/>
                <w:sz w:val="22"/>
                <w:szCs w:val="22"/>
                <w:highlight w:val="none"/>
                <w:lang w:eastAsia="zh-CN"/>
              </w:rPr>
              <w:t>；</w:t>
            </w:r>
          </w:p>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10</w:t>
            </w:r>
            <w:r>
              <w:rPr>
                <w:rFonts w:hint="eastAsia" w:ascii="宋体" w:hAnsi="宋体" w:eastAsia="宋体" w:cs="宋体"/>
                <w:color w:val="auto"/>
                <w:kern w:val="0"/>
                <w:sz w:val="22"/>
                <w:szCs w:val="22"/>
                <w:highlight w:val="none"/>
              </w:rPr>
              <w:t>亿元（含）-</w:t>
            </w:r>
            <w:r>
              <w:rPr>
                <w:rFonts w:hint="eastAsia" w:ascii="宋体" w:hAnsi="宋体" w:eastAsia="宋体" w:cs="宋体"/>
                <w:color w:val="auto"/>
                <w:kern w:val="0"/>
                <w:sz w:val="22"/>
                <w:szCs w:val="22"/>
                <w:highlight w:val="none"/>
                <w:lang w:val="en-US" w:eastAsia="zh-CN"/>
              </w:rPr>
              <w:t>15</w:t>
            </w:r>
            <w:r>
              <w:rPr>
                <w:rFonts w:hint="eastAsia" w:ascii="宋体" w:hAnsi="宋体" w:eastAsia="宋体" w:cs="宋体"/>
                <w:color w:val="auto"/>
                <w:kern w:val="0"/>
                <w:sz w:val="22"/>
                <w:szCs w:val="22"/>
                <w:highlight w:val="none"/>
              </w:rPr>
              <w:t>亿元（不含）得</w:t>
            </w:r>
            <w:r>
              <w:rPr>
                <w:rFonts w:hint="eastAsia" w:ascii="宋体" w:hAnsi="宋体" w:eastAsia="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分</w:t>
            </w:r>
            <w:r>
              <w:rPr>
                <w:rFonts w:hint="eastAsia" w:ascii="宋体" w:hAnsi="宋体" w:eastAsia="宋体" w:cs="宋体"/>
                <w:color w:val="auto"/>
                <w:kern w:val="0"/>
                <w:sz w:val="22"/>
                <w:szCs w:val="22"/>
                <w:highlight w:val="none"/>
                <w:lang w:eastAsia="zh-CN"/>
              </w:rPr>
              <w:t>；</w:t>
            </w:r>
          </w:p>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亿元（含）</w:t>
            </w:r>
            <w:r>
              <w:rPr>
                <w:rFonts w:hint="eastAsia" w:ascii="宋体" w:hAnsi="宋体" w:eastAsia="宋体" w:cs="宋体"/>
                <w:color w:val="auto"/>
                <w:kern w:val="0"/>
                <w:sz w:val="22"/>
                <w:szCs w:val="22"/>
                <w:highlight w:val="none"/>
                <w:lang w:val="en-US" w:eastAsia="zh-CN"/>
              </w:rPr>
              <w:t>-</w:t>
            </w:r>
            <w:r>
              <w:rPr>
                <w:rFonts w:hint="eastAsia" w:ascii="宋体" w:hAnsi="宋体" w:eastAsia="宋体" w:cs="宋体"/>
                <w:color w:val="auto"/>
                <w:kern w:val="0"/>
                <w:sz w:val="22"/>
                <w:szCs w:val="22"/>
                <w:highlight w:val="none"/>
                <w:lang w:eastAsia="zh-CN"/>
              </w:rPr>
              <w:t>1</w:t>
            </w:r>
            <w:r>
              <w:rPr>
                <w:rFonts w:hint="eastAsia" w:ascii="宋体" w:hAnsi="宋体" w:eastAsia="宋体" w:cs="宋体"/>
                <w:color w:val="auto"/>
                <w:kern w:val="0"/>
                <w:sz w:val="22"/>
                <w:szCs w:val="22"/>
                <w:highlight w:val="none"/>
                <w:lang w:val="en-US" w:eastAsia="zh-CN"/>
              </w:rPr>
              <w:t>0</w:t>
            </w:r>
            <w:r>
              <w:rPr>
                <w:rFonts w:hint="eastAsia" w:ascii="宋体" w:hAnsi="宋体" w:eastAsia="宋体" w:cs="宋体"/>
                <w:color w:val="auto"/>
                <w:kern w:val="0"/>
                <w:sz w:val="22"/>
                <w:szCs w:val="22"/>
                <w:highlight w:val="none"/>
              </w:rPr>
              <w:t>亿元（不含）得</w:t>
            </w:r>
            <w:r>
              <w:rPr>
                <w:rFonts w:hint="eastAsia" w:ascii="宋体" w:hAnsi="宋体" w:eastAsia="宋体" w:cs="宋体"/>
                <w:color w:val="auto"/>
                <w:kern w:val="0"/>
                <w:sz w:val="22"/>
                <w:szCs w:val="22"/>
                <w:highlight w:val="none"/>
                <w:lang w:eastAsia="zh-CN"/>
              </w:rPr>
              <w:t>3</w:t>
            </w:r>
            <w:r>
              <w:rPr>
                <w:rFonts w:hint="eastAsia" w:ascii="宋体" w:hAnsi="宋体" w:eastAsia="宋体" w:cs="宋体"/>
                <w:color w:val="auto"/>
                <w:kern w:val="0"/>
                <w:sz w:val="22"/>
                <w:szCs w:val="22"/>
                <w:highlight w:val="none"/>
              </w:rPr>
              <w:t>分</w:t>
            </w:r>
            <w:r>
              <w:rPr>
                <w:rFonts w:hint="eastAsia" w:ascii="宋体" w:hAnsi="宋体" w:eastAsia="宋体" w:cs="宋体"/>
                <w:color w:val="auto"/>
                <w:kern w:val="0"/>
                <w:sz w:val="22"/>
                <w:szCs w:val="22"/>
                <w:highlight w:val="none"/>
                <w:lang w:eastAsia="zh-CN"/>
              </w:rPr>
              <w:t>；</w:t>
            </w:r>
          </w:p>
          <w:p>
            <w:pPr>
              <w:widowControl/>
              <w:jc w:val="lef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亿元（含）</w:t>
            </w:r>
            <w:r>
              <w:rPr>
                <w:rFonts w:hint="eastAsia" w:ascii="宋体" w:hAnsi="宋体" w:eastAsia="宋体" w:cs="宋体"/>
                <w:color w:val="auto"/>
                <w:kern w:val="0"/>
                <w:sz w:val="22"/>
                <w:szCs w:val="22"/>
                <w:highlight w:val="none"/>
                <w:lang w:val="en-US" w:eastAsia="zh-CN"/>
              </w:rPr>
              <w:t>-5亿元（不含）</w:t>
            </w:r>
            <w:r>
              <w:rPr>
                <w:rFonts w:hint="eastAsia" w:ascii="宋体" w:hAnsi="宋体" w:eastAsia="宋体" w:cs="宋体"/>
                <w:color w:val="auto"/>
                <w:kern w:val="0"/>
                <w:sz w:val="22"/>
                <w:szCs w:val="22"/>
                <w:highlight w:val="none"/>
              </w:rPr>
              <w:t>得</w:t>
            </w:r>
            <w:r>
              <w:rPr>
                <w:rFonts w:hint="eastAsia" w:ascii="宋体" w:hAnsi="宋体" w:eastAsia="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分</w:t>
            </w:r>
            <w:r>
              <w:rPr>
                <w:rFonts w:hint="eastAsia" w:ascii="宋体" w:hAnsi="宋体" w:eastAsia="宋体" w:cs="宋体"/>
                <w:color w:val="auto"/>
                <w:kern w:val="0"/>
                <w:sz w:val="22"/>
                <w:szCs w:val="22"/>
                <w:highlight w:val="none"/>
                <w:lang w:eastAsia="zh-CN"/>
              </w:rPr>
              <w:t>；</w:t>
            </w:r>
          </w:p>
          <w:p>
            <w:pPr>
              <w:widowControl/>
              <w:jc w:val="lef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2亿元（不含）以下得1分；</w:t>
            </w:r>
          </w:p>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未取得投债授信额度，本项不得分</w:t>
            </w:r>
            <w:r>
              <w:rPr>
                <w:rFonts w:hint="eastAsia" w:ascii="宋体" w:hAnsi="宋体" w:eastAsia="宋体" w:cs="宋体"/>
                <w:color w:val="auto"/>
                <w:kern w:val="0"/>
                <w:sz w:val="22"/>
                <w:szCs w:val="22"/>
                <w:highlight w:val="none"/>
              </w:rPr>
              <w:t>。</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授信文件复制件</w:t>
            </w:r>
            <w:r>
              <w:rPr>
                <w:rFonts w:hint="eastAsia" w:ascii="宋体" w:hAnsi="宋体" w:eastAsia="宋体" w:cs="宋体"/>
                <w:color w:val="auto"/>
                <w:kern w:val="0"/>
                <w:sz w:val="22"/>
                <w:szCs w:val="22"/>
                <w:highlight w:val="none"/>
              </w:rPr>
              <w:t>加盖投标供应商公章</w:t>
            </w:r>
            <w:r>
              <w:rPr>
                <w:rFonts w:hint="eastAsia" w:ascii="宋体" w:hAnsi="宋体" w:eastAsia="宋体" w:cs="宋体"/>
                <w:color w:val="auto"/>
                <w:kern w:val="0"/>
                <w:sz w:val="22"/>
                <w:szCs w:val="22"/>
                <w:highlight w:val="none"/>
                <w:lang w:val="en-US" w:eastAsia="zh-CN"/>
              </w:rPr>
              <w:t>。</w:t>
            </w:r>
          </w:p>
        </w:tc>
      </w:tr>
    </w:tbl>
    <w:p>
      <w:pPr>
        <w:overflowPunct w:val="0"/>
        <w:spacing w:line="360" w:lineRule="auto"/>
        <w:ind w:firstLine="440" w:firstLineChars="200"/>
        <w:rPr>
          <w:rFonts w:hint="eastAsia" w:ascii="宋体" w:hAnsi="宋体" w:eastAsia="宋体" w:cs="宋体"/>
          <w:color w:val="auto"/>
          <w:sz w:val="22"/>
          <w:szCs w:val="22"/>
          <w:highlight w:val="none"/>
        </w:rPr>
        <w:sectPr>
          <w:pgSz w:w="16838" w:h="11906" w:orient="landscape"/>
          <w:pgMar w:top="1417" w:right="1134" w:bottom="1247" w:left="992" w:header="851" w:footer="850" w:gutter="0"/>
          <w:pgBorders>
            <w:top w:val="none" w:color="auto" w:sz="0" w:space="0"/>
            <w:left w:val="none" w:color="auto" w:sz="0" w:space="0"/>
            <w:bottom w:val="none" w:color="auto" w:sz="0" w:space="0"/>
            <w:right w:val="none" w:color="auto" w:sz="0" w:space="0"/>
          </w:pgBorders>
          <w:pgNumType w:fmt="decimal"/>
          <w:cols w:space="720" w:num="1"/>
          <w:docGrid w:linePitch="316" w:charSpace="0"/>
        </w:sectPr>
      </w:pPr>
    </w:p>
    <w:p>
      <w:pPr>
        <w:rPr>
          <w:rFonts w:hint="eastAsia" w:ascii="宋体" w:hAnsi="宋体" w:eastAsia="宋体" w:cs="宋体"/>
          <w:color w:val="auto"/>
          <w:highlight w:val="none"/>
        </w:rPr>
      </w:pPr>
    </w:p>
    <w:p>
      <w:pPr>
        <w:overflowPunct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注：如果上述某项评分细则在技术标中没有描述或不符合评分要求或严重离题，则此项可按零分处理。</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2、报价评分（</w:t>
      </w:r>
      <w:r>
        <w:rPr>
          <w:rFonts w:hint="eastAsia" w:ascii="宋体" w:hAnsi="宋体" w:eastAsia="宋体" w:cs="宋体"/>
          <w:b/>
          <w:bCs/>
          <w:i/>
          <w:iCs/>
          <w:color w:val="auto"/>
          <w:sz w:val="22"/>
          <w:szCs w:val="22"/>
          <w:highlight w:val="none"/>
        </w:rPr>
        <w:t>满分</w:t>
      </w:r>
      <w:r>
        <w:rPr>
          <w:rFonts w:hint="eastAsia" w:ascii="宋体" w:hAnsi="宋体" w:eastAsia="宋体" w:cs="宋体"/>
          <w:b/>
          <w:bCs/>
          <w:i/>
          <w:iCs/>
          <w:color w:val="auto"/>
          <w:sz w:val="22"/>
          <w:szCs w:val="22"/>
          <w:highlight w:val="none"/>
          <w:u w:val="single"/>
          <w:lang w:val="en-US" w:eastAsia="zh-CN"/>
        </w:rPr>
        <w:t>25</w:t>
      </w:r>
      <w:r>
        <w:rPr>
          <w:rFonts w:hint="eastAsia" w:ascii="宋体" w:hAnsi="宋体" w:eastAsia="宋体" w:cs="宋体"/>
          <w:b/>
          <w:bCs/>
          <w:i/>
          <w:iCs/>
          <w:color w:val="auto"/>
          <w:sz w:val="22"/>
          <w:szCs w:val="22"/>
          <w:highlight w:val="none"/>
        </w:rPr>
        <w:t>分</w:t>
      </w:r>
      <w:r>
        <w:rPr>
          <w:rFonts w:hint="eastAsia" w:ascii="宋体" w:hAnsi="宋体" w:eastAsia="宋体" w:cs="宋体"/>
          <w:color w:val="auto"/>
          <w:sz w:val="22"/>
          <w:szCs w:val="22"/>
          <w:highlight w:val="none"/>
        </w:rPr>
        <w:t xml:space="preserve">）： </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有效投标报价的算术平均值：若有效投标报价＜5家时，则有效投标报价的算术平均值为全部有效投标报价的算术平均值；若有效投标报价在≥5家＜10家，则有效投标报价的算术平均值为去除一个最高价和一个最低价的算术平均值；若有效投标报价在≥10家以上时，则有效投标报价的算术平均值为去除一个最高价和次高价与一个最低价和次低价的算术平均值。</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有效投标报价的最低价：若全部有效投标供应商＜5家时，则有效投标报价的最低价为全部有效投标供应商的最低价；有效投标报价在≥5家＜10家，则有效投标报价的最低价为去除一个最低价后的最低报价；有效投标报价在≥10家以上时，则有效投标报价的最低价为去除一个最低价和次低价后的最低报价。</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评标基准价=（有效投标报价的算术平均值+有效投标报价的最低价）/2，保留两位小数。</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▲本项目</w:t>
      </w:r>
      <w:r>
        <w:rPr>
          <w:rFonts w:hint="eastAsia" w:ascii="宋体" w:hAnsi="宋体" w:eastAsia="宋体" w:cs="宋体"/>
          <w:color w:val="auto"/>
          <w:sz w:val="22"/>
          <w:szCs w:val="22"/>
          <w:highlight w:val="none"/>
          <w:u w:val="single"/>
          <w:lang w:val="en-US" w:eastAsia="zh-CN"/>
        </w:rPr>
        <w:t>年</w:t>
      </w:r>
      <w:r>
        <w:rPr>
          <w:rFonts w:hint="eastAsia" w:ascii="宋体" w:hAnsi="宋体" w:eastAsia="宋体" w:cs="宋体"/>
          <w:color w:val="auto"/>
          <w:sz w:val="22"/>
          <w:szCs w:val="22"/>
          <w:highlight w:val="none"/>
          <w:u w:val="single" w:color="auto"/>
        </w:rPr>
        <w:t>承销费率最高限价为</w:t>
      </w:r>
      <w:r>
        <w:rPr>
          <w:rFonts w:hint="eastAsia" w:ascii="宋体" w:hAnsi="宋体" w:eastAsia="宋体" w:cs="宋体"/>
          <w:color w:val="auto"/>
          <w:sz w:val="22"/>
          <w:szCs w:val="22"/>
          <w:highlight w:val="none"/>
          <w:u w:val="single" w:color="auto"/>
          <w:lang w:val="en-US" w:eastAsia="zh-CN"/>
        </w:rPr>
        <w:t>0.068%</w:t>
      </w:r>
      <w:r>
        <w:rPr>
          <w:rFonts w:hint="eastAsia" w:ascii="宋体" w:hAnsi="宋体" w:eastAsia="宋体" w:cs="宋体"/>
          <w:color w:val="auto"/>
          <w:sz w:val="22"/>
          <w:szCs w:val="22"/>
          <w:highlight w:val="none"/>
          <w:u w:val="single" w:color="auto"/>
        </w:rPr>
        <w:t>（即</w:t>
      </w:r>
      <w:r>
        <w:rPr>
          <w:rFonts w:hint="eastAsia" w:ascii="宋体" w:hAnsi="宋体" w:eastAsia="宋体" w:cs="宋体"/>
          <w:color w:val="auto"/>
          <w:sz w:val="22"/>
          <w:szCs w:val="22"/>
          <w:highlight w:val="none"/>
          <w:u w:val="single" w:color="auto"/>
          <w:lang w:val="en-US" w:eastAsia="zh-CN"/>
        </w:rPr>
        <w:t>6.8BP</w:t>
      </w:r>
      <w:r>
        <w:rPr>
          <w:rFonts w:hint="eastAsia" w:ascii="宋体" w:hAnsi="宋体" w:eastAsia="宋体" w:cs="宋体"/>
          <w:color w:val="auto"/>
          <w:sz w:val="22"/>
          <w:szCs w:val="22"/>
          <w:highlight w:val="none"/>
          <w:u w:val="single" w:color="auto"/>
        </w:rPr>
        <w:t>）,</w:t>
      </w:r>
      <w:r>
        <w:rPr>
          <w:rFonts w:hint="eastAsia" w:ascii="宋体" w:hAnsi="宋体" w:eastAsia="宋体" w:cs="宋体"/>
          <w:color w:val="auto"/>
          <w:sz w:val="22"/>
          <w:szCs w:val="22"/>
          <w:highlight w:val="none"/>
          <w:u w:val="single"/>
        </w:rPr>
        <w:t xml:space="preserve"> 如投标供应商报价超过该最高限价，其投标文件作无效标处理</w:t>
      </w:r>
      <w:r>
        <w:rPr>
          <w:rFonts w:hint="eastAsia" w:ascii="宋体" w:hAnsi="宋体" w:eastAsia="宋体" w:cs="宋体"/>
          <w:color w:val="auto"/>
          <w:sz w:val="22"/>
          <w:szCs w:val="22"/>
          <w:highlight w:val="none"/>
        </w:rPr>
        <w:t>。</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 </w:t>
      </w:r>
      <w:r>
        <w:rPr>
          <w:rFonts w:hint="eastAsia" w:ascii="宋体" w:hAnsi="宋体" w:eastAsia="宋体" w:cs="宋体"/>
          <w:color w:val="auto"/>
          <w:sz w:val="22"/>
          <w:szCs w:val="22"/>
          <w:highlight w:val="none"/>
          <w:lang w:eastAsia="zh-CN"/>
        </w:rPr>
        <w:t>投标报价</w:t>
      </w:r>
      <w:r>
        <w:rPr>
          <w:rFonts w:hint="eastAsia" w:ascii="宋体" w:hAnsi="宋体" w:eastAsia="宋体" w:cs="宋体"/>
          <w:color w:val="auto"/>
          <w:sz w:val="22"/>
          <w:szCs w:val="22"/>
          <w:highlight w:val="none"/>
        </w:rPr>
        <w:t>=评标基准价时,报价得分</w:t>
      </w:r>
      <w:r>
        <w:rPr>
          <w:rFonts w:hint="eastAsia" w:ascii="宋体" w:hAnsi="宋体" w:eastAsia="宋体" w:cs="宋体"/>
          <w:color w:val="auto"/>
          <w:sz w:val="22"/>
          <w:szCs w:val="22"/>
          <w:highlight w:val="none"/>
          <w:lang w:val="en-US" w:eastAsia="zh-CN"/>
        </w:rPr>
        <w:t>为25</w:t>
      </w:r>
      <w:r>
        <w:rPr>
          <w:rFonts w:hint="eastAsia" w:ascii="宋体" w:hAnsi="宋体" w:eastAsia="宋体" w:cs="宋体"/>
          <w:color w:val="auto"/>
          <w:sz w:val="22"/>
          <w:szCs w:val="22"/>
          <w:highlight w:val="none"/>
        </w:rPr>
        <w:t>分；</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（2） </w:t>
      </w:r>
      <w:r>
        <w:rPr>
          <w:rFonts w:hint="eastAsia" w:ascii="宋体" w:hAnsi="宋体" w:eastAsia="宋体" w:cs="宋体"/>
          <w:color w:val="auto"/>
          <w:sz w:val="22"/>
          <w:szCs w:val="22"/>
          <w:highlight w:val="none"/>
          <w:lang w:eastAsia="zh-CN"/>
        </w:rPr>
        <w:t>投标报价</w:t>
      </w:r>
      <w:r>
        <w:rPr>
          <w:rFonts w:hint="eastAsia" w:ascii="宋体" w:hAnsi="宋体" w:eastAsia="宋体" w:cs="宋体"/>
          <w:color w:val="auto"/>
          <w:sz w:val="22"/>
          <w:szCs w:val="22"/>
          <w:highlight w:val="none"/>
        </w:rPr>
        <w:t>＞评标基准值价时，</w:t>
      </w:r>
      <w:r>
        <w:rPr>
          <w:rFonts w:hint="eastAsia" w:ascii="宋体" w:hAnsi="宋体" w:eastAsia="宋体" w:cs="宋体"/>
          <w:color w:val="auto"/>
          <w:sz w:val="22"/>
          <w:szCs w:val="22"/>
          <w:highlight w:val="none"/>
          <w:lang w:eastAsia="zh-CN"/>
        </w:rPr>
        <w:t>投标报价</w:t>
      </w:r>
      <w:r>
        <w:rPr>
          <w:rFonts w:hint="eastAsia" w:ascii="宋体" w:hAnsi="宋体" w:eastAsia="宋体" w:cs="宋体"/>
          <w:color w:val="auto"/>
          <w:sz w:val="22"/>
          <w:szCs w:val="22"/>
          <w:highlight w:val="none"/>
        </w:rPr>
        <w:t>每高于评标基准价1个BP，扣1分；</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投标报价</w:t>
      </w:r>
      <w:r>
        <w:rPr>
          <w:rFonts w:hint="eastAsia" w:ascii="宋体" w:hAnsi="宋体" w:eastAsia="宋体" w:cs="宋体"/>
          <w:color w:val="auto"/>
          <w:sz w:val="22"/>
          <w:szCs w:val="22"/>
          <w:highlight w:val="none"/>
        </w:rPr>
        <w:t>＜评标基准值价时，</w:t>
      </w:r>
      <w:r>
        <w:rPr>
          <w:rFonts w:hint="eastAsia" w:ascii="宋体" w:hAnsi="宋体" w:eastAsia="宋体" w:cs="宋体"/>
          <w:color w:val="auto"/>
          <w:sz w:val="22"/>
          <w:szCs w:val="22"/>
          <w:highlight w:val="none"/>
          <w:lang w:eastAsia="zh-CN"/>
        </w:rPr>
        <w:t>投标报价</w:t>
      </w:r>
      <w:r>
        <w:rPr>
          <w:rFonts w:hint="eastAsia" w:ascii="宋体" w:hAnsi="宋体" w:eastAsia="宋体" w:cs="宋体"/>
          <w:color w:val="auto"/>
          <w:sz w:val="22"/>
          <w:szCs w:val="22"/>
          <w:highlight w:val="none"/>
        </w:rPr>
        <w:t>每低于评标基准价1个BP，扣0.8分；</w:t>
      </w:r>
    </w:p>
    <w:p>
      <w:pPr>
        <w:overflowPunct w:val="0"/>
        <w:spacing w:line="360" w:lineRule="auto"/>
        <w:ind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计算商务（报价）得分不足1个BP时，使用直线插入法计算商务（报价）得分。</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）以上报价得分保留小数2位,报价得分最低为0分。</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具体计算公式如下：如 A=</w:t>
      </w:r>
      <w:r>
        <w:rPr>
          <w:rFonts w:hint="eastAsia" w:ascii="宋体" w:hAnsi="宋体" w:eastAsia="宋体" w:cs="宋体"/>
          <w:color w:val="auto"/>
          <w:sz w:val="22"/>
          <w:szCs w:val="22"/>
          <w:highlight w:val="none"/>
          <w:lang w:eastAsia="zh-CN"/>
        </w:rPr>
        <w:t>投标报价</w:t>
      </w:r>
      <w:r>
        <w:rPr>
          <w:rFonts w:hint="eastAsia" w:ascii="宋体" w:hAnsi="宋体" w:eastAsia="宋体" w:cs="宋体"/>
          <w:color w:val="auto"/>
          <w:sz w:val="22"/>
          <w:szCs w:val="22"/>
          <w:highlight w:val="none"/>
        </w:rPr>
        <w:t xml:space="preserve">（BP）,B=评标基准价(BP) </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当A＞B时， 报价得分=</w:t>
      </w:r>
      <w:r>
        <w:rPr>
          <w:rFonts w:hint="eastAsia" w:ascii="宋体" w:hAnsi="宋体" w:eastAsia="宋体" w:cs="宋体"/>
          <w:color w:val="auto"/>
          <w:sz w:val="22"/>
          <w:szCs w:val="22"/>
          <w:highlight w:val="none"/>
          <w:lang w:val="en-US" w:eastAsia="zh-CN"/>
        </w:rPr>
        <w:t>25</w:t>
      </w:r>
      <w:r>
        <w:rPr>
          <w:rFonts w:hint="eastAsia" w:ascii="宋体" w:hAnsi="宋体" w:eastAsia="宋体" w:cs="宋体"/>
          <w:color w:val="auto"/>
          <w:sz w:val="22"/>
          <w:szCs w:val="22"/>
          <w:highlight w:val="none"/>
        </w:rPr>
        <w:t>-（A-B）*1</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当A＜B时， 报价得分=</w:t>
      </w:r>
      <w:r>
        <w:rPr>
          <w:rFonts w:hint="eastAsia" w:ascii="宋体" w:hAnsi="宋体" w:eastAsia="宋体" w:cs="宋体"/>
          <w:color w:val="auto"/>
          <w:sz w:val="22"/>
          <w:szCs w:val="22"/>
          <w:highlight w:val="none"/>
          <w:lang w:val="en-US" w:eastAsia="zh-CN"/>
        </w:rPr>
        <w:t>25</w:t>
      </w:r>
      <w:r>
        <w:rPr>
          <w:rFonts w:hint="eastAsia" w:ascii="宋体" w:hAnsi="宋体" w:eastAsia="宋体" w:cs="宋体"/>
          <w:color w:val="auto"/>
          <w:sz w:val="22"/>
          <w:szCs w:val="22"/>
          <w:highlight w:val="none"/>
        </w:rPr>
        <w:t>-（B-A）*0.8</w:t>
      </w:r>
    </w:p>
    <w:p>
      <w:pPr>
        <w:overflowPunct w:val="0"/>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）所有投标供应商商务报价均超最高限价，重新组织采购。</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3、有效投标供应商的综合得分为商务技术</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rPr>
        <w:t>和报价分的总和。</w:t>
      </w:r>
    </w:p>
    <w:p>
      <w:pPr>
        <w:pStyle w:val="9"/>
        <w:overflowPunct w:val="0"/>
        <w:spacing w:before="120"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六、定标办法</w:t>
      </w:r>
    </w:p>
    <w:p>
      <w:pPr>
        <w:overflowPunct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评标委员会依据法律、法规及采购文件有关规定在有效投标供应商的综合得分高到低进行排序</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综合得分相同的，按投标报价由低到高进行排序；综合得分且投标报价相同的，由评标委员会抽签决定排序。</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确定中标候选人数量</w:t>
      </w:r>
      <w:r>
        <w:rPr>
          <w:rFonts w:hint="eastAsia" w:ascii="宋体" w:hAnsi="宋体" w:eastAsia="宋体" w:cs="宋体"/>
          <w:color w:val="auto"/>
          <w:sz w:val="22"/>
          <w:szCs w:val="22"/>
          <w:highlight w:val="none"/>
        </w:rPr>
        <w:t>向采购人推荐，</w:t>
      </w:r>
      <w:r>
        <w:rPr>
          <w:rFonts w:hint="eastAsia" w:ascii="宋体" w:hAnsi="宋体" w:eastAsia="宋体" w:cs="宋体"/>
          <w:color w:val="auto"/>
          <w:sz w:val="22"/>
          <w:szCs w:val="22"/>
          <w:highlight w:val="none"/>
          <w:lang w:val="en-US" w:eastAsia="zh-CN"/>
        </w:rPr>
        <w:t>具体规则如下：</w:t>
      </w:r>
    </w:p>
    <w:p>
      <w:pPr>
        <w:overflowPunct w:val="0"/>
        <w:spacing w:line="360" w:lineRule="auto"/>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1.1 综合得分最低和次低的2家投标供应商不推荐为中标候选人,其他有效投标供应商均推荐为中标候选人；</w:t>
      </w:r>
    </w:p>
    <w:p>
      <w:pPr>
        <w:pStyle w:val="7"/>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 xml:space="preserve">   2</w:t>
      </w:r>
      <w:bookmarkStart w:id="306" w:name="_Hlk75113327"/>
      <w:r>
        <w:rPr>
          <w:rFonts w:hint="eastAsia" w:ascii="宋体" w:hAnsi="宋体" w:eastAsia="宋体" w:cs="宋体"/>
          <w:color w:val="auto"/>
          <w:kern w:val="2"/>
          <w:sz w:val="22"/>
          <w:szCs w:val="22"/>
          <w:highlight w:val="none"/>
          <w:lang w:val="en-US" w:eastAsia="zh-CN" w:bidi="ar-SA"/>
        </w:rPr>
        <w:t>、采购人根据评标委员会推荐的中标候选人数量确定债券主承销商库入围数量。已取得15亿元主承销额度授信批复且评审综合得分排名更靠前的中标候选人，作为牵头主承销商。如牵头主承销商未按要求完成注册工作的，采购人有权取消其牵头主承销商资格，由主承销商库中符合条件的其他主承销商依次递补。</w:t>
      </w:r>
    </w:p>
    <w:bookmarkEnd w:id="306"/>
    <w:p>
      <w:pPr>
        <w:pStyle w:val="8"/>
        <w:rPr>
          <w:rFonts w:hint="eastAsia" w:ascii="宋体" w:hAnsi="宋体" w:eastAsia="宋体" w:cs="宋体"/>
          <w:color w:val="auto"/>
          <w:highlight w:val="none"/>
        </w:rPr>
      </w:pPr>
    </w:p>
    <w:sectPr>
      <w:pgSz w:w="11906" w:h="16838"/>
      <w:pgMar w:top="1134" w:right="1247" w:bottom="992" w:left="1417" w:header="851" w:footer="850" w:gutter="0"/>
      <w:pgBorders>
        <w:top w:val="none" w:color="auto" w:sz="0" w:space="0"/>
        <w:left w:val="none" w:color="auto" w:sz="0" w:space="0"/>
        <w:bottom w:val="none" w:color="auto" w:sz="0" w:space="0"/>
        <w:right w:val="none" w:color="auto" w:sz="0" w:space="0"/>
      </w:pgBorders>
      <w:pgNumType w:fmt="decimal"/>
      <w:cols w:space="720" w:num="1"/>
      <w:docGrid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Univers LT Std 57 Cn">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jc w:val="center"/>
    </w:pPr>
    <w:r>
      <w:rPr>
        <w:rFonts w:ascii="Times New Roman" w:hAnsi="Times New Roman" w:eastAsia="Wingdings" w:cs="Times New Roman"/>
        <w:kern w:val="2"/>
        <w:sz w:val="18"/>
        <w:szCs w:val="18"/>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25</w:t>
                </w:r>
                <w:r>
                  <w:rPr>
                    <w:rFonts w:hint="eastAsia"/>
                    <w:sz w:val="1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pPr>
    <w:r>
      <w:rPr>
        <w:rFonts w:ascii="Times New Roman" w:hAnsi="Times New Roman" w:eastAsia="Wingdings" w:cs="Times New Roman"/>
        <w:kern w:val="2"/>
        <w:sz w:val="18"/>
        <w:szCs w:val="18"/>
        <w:lang w:val="en-US" w:eastAsia="zh-CN" w:bidi="ar-SA"/>
      </w:rPr>
      <w:pict>
        <v:rect id="文本框 3"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30</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38029707">
    <w:nsid w:val="37E9328B"/>
    <w:multiLevelType w:val="multilevel"/>
    <w:tmpl w:val="37E9328B"/>
    <w:lvl w:ilvl="0" w:tentative="1">
      <w:start w:val="1"/>
      <w:numFmt w:val="none"/>
      <w:lvlText w:val="2"/>
      <w:lvlJc w:val="left"/>
      <w:pPr>
        <w:tabs>
          <w:tab w:val="left" w:pos="425"/>
        </w:tabs>
        <w:ind w:left="425" w:hanging="425"/>
      </w:pPr>
      <w:rPr>
        <w:rFonts w:hint="eastAsia"/>
      </w:rPr>
    </w:lvl>
    <w:lvl w:ilvl="1" w:tentative="1">
      <w:start w:val="1"/>
      <w:numFmt w:val="decimal"/>
      <w:lvlText w:val="%118.%2"/>
      <w:lvlJc w:val="left"/>
      <w:pPr>
        <w:tabs>
          <w:tab w:val="left" w:pos="992"/>
        </w:tabs>
        <w:ind w:left="992" w:hanging="567"/>
      </w:pPr>
      <w:rPr>
        <w:rFonts w:hint="eastAsia" w:ascii="新宋体" w:hAnsi="新宋体" w:eastAsia="新宋体" w:cs="黑体"/>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1726560424">
    <w:nsid w:val="66E938A8"/>
    <w:multiLevelType w:val="multilevel"/>
    <w:tmpl w:val="66E938A8"/>
    <w:lvl w:ilvl="0" w:tentative="1">
      <w:start w:val="23"/>
      <w:numFmt w:val="decimal"/>
      <w:lvlText w:val="%1"/>
      <w:lvlJc w:val="left"/>
      <w:pPr>
        <w:tabs>
          <w:tab w:val="left" w:pos="0"/>
        </w:tabs>
        <w:ind w:left="480" w:hanging="480"/>
      </w:pPr>
      <w:rPr>
        <w:rFonts w:hint="default"/>
      </w:rPr>
    </w:lvl>
    <w:lvl w:ilvl="1" w:tentative="1">
      <w:start w:val="1"/>
      <w:numFmt w:val="decimal"/>
      <w:lvlText w:val="%1.%2"/>
      <w:lvlJc w:val="left"/>
      <w:pPr>
        <w:tabs>
          <w:tab w:val="left" w:pos="0"/>
        </w:tabs>
        <w:ind w:left="480" w:hanging="480"/>
      </w:pPr>
      <w:rPr>
        <w:rFonts w:hint="default"/>
      </w:rPr>
    </w:lvl>
    <w:lvl w:ilvl="2" w:tentative="1">
      <w:start w:val="1"/>
      <w:numFmt w:val="decimal"/>
      <w:lvlText w:val="%1.%2.%3"/>
      <w:lvlJc w:val="left"/>
      <w:pPr>
        <w:tabs>
          <w:tab w:val="left" w:pos="0"/>
        </w:tabs>
        <w:ind w:left="720" w:hanging="720"/>
      </w:pPr>
      <w:rPr>
        <w:rFonts w:hint="default"/>
      </w:rPr>
    </w:lvl>
    <w:lvl w:ilvl="3" w:tentative="1">
      <w:start w:val="1"/>
      <w:numFmt w:val="decimal"/>
      <w:lvlText w:val="%1.%2.%3.%4"/>
      <w:lvlJc w:val="left"/>
      <w:pPr>
        <w:tabs>
          <w:tab w:val="left" w:pos="0"/>
        </w:tabs>
        <w:ind w:left="1080" w:hanging="1080"/>
      </w:pPr>
      <w:rPr>
        <w:rFonts w:hint="default"/>
      </w:rPr>
    </w:lvl>
    <w:lvl w:ilvl="4" w:tentative="1">
      <w:start w:val="1"/>
      <w:numFmt w:val="decimal"/>
      <w:lvlText w:val="%1.%2.%3.%4.%5"/>
      <w:lvlJc w:val="left"/>
      <w:pPr>
        <w:tabs>
          <w:tab w:val="left" w:pos="0"/>
        </w:tabs>
        <w:ind w:left="1080" w:hanging="1080"/>
      </w:pPr>
      <w:rPr>
        <w:rFonts w:hint="default"/>
      </w:rPr>
    </w:lvl>
    <w:lvl w:ilvl="5" w:tentative="1">
      <w:start w:val="1"/>
      <w:numFmt w:val="decimal"/>
      <w:lvlText w:val="%1.%2.%3.%4.%5.%6"/>
      <w:lvlJc w:val="left"/>
      <w:pPr>
        <w:tabs>
          <w:tab w:val="left" w:pos="0"/>
        </w:tabs>
        <w:ind w:left="1440" w:hanging="1440"/>
      </w:pPr>
      <w:rPr>
        <w:rFonts w:hint="default"/>
      </w:rPr>
    </w:lvl>
    <w:lvl w:ilvl="6" w:tentative="1">
      <w:start w:val="1"/>
      <w:numFmt w:val="decimal"/>
      <w:lvlText w:val="%1.%2.%3.%4.%5.%6.%7"/>
      <w:lvlJc w:val="left"/>
      <w:pPr>
        <w:tabs>
          <w:tab w:val="left" w:pos="0"/>
        </w:tabs>
        <w:ind w:left="1440" w:hanging="1440"/>
      </w:pPr>
      <w:rPr>
        <w:rFonts w:hint="default"/>
      </w:rPr>
    </w:lvl>
    <w:lvl w:ilvl="7" w:tentative="1">
      <w:start w:val="1"/>
      <w:numFmt w:val="decimal"/>
      <w:lvlText w:val="%1.%2.%3.%4.%5.%6.%7.%8"/>
      <w:lvlJc w:val="left"/>
      <w:pPr>
        <w:tabs>
          <w:tab w:val="left" w:pos="0"/>
        </w:tabs>
        <w:ind w:left="1800" w:hanging="1800"/>
      </w:pPr>
      <w:rPr>
        <w:rFonts w:hint="default"/>
      </w:rPr>
    </w:lvl>
    <w:lvl w:ilvl="8" w:tentative="1">
      <w:start w:val="1"/>
      <w:numFmt w:val="decimal"/>
      <w:lvlText w:val="%1.%2.%3.%4.%5.%6.%7.%8.%9"/>
      <w:lvlJc w:val="left"/>
      <w:pPr>
        <w:tabs>
          <w:tab w:val="left" w:pos="0"/>
        </w:tabs>
        <w:ind w:left="2160" w:hanging="2160"/>
      </w:pPr>
      <w:rPr>
        <w:rFonts w:hint="default"/>
      </w:rPr>
    </w:lvl>
  </w:abstractNum>
  <w:abstractNum w:abstractNumId="1355576014">
    <w:nsid w:val="50CC72CE"/>
    <w:multiLevelType w:val="multilevel"/>
    <w:tmpl w:val="50CC72CE"/>
    <w:lvl w:ilvl="0" w:tentative="1">
      <w:start w:val="1"/>
      <w:numFmt w:val="none"/>
      <w:lvlText w:val="2"/>
      <w:lvlJc w:val="left"/>
      <w:pPr>
        <w:tabs>
          <w:tab w:val="left" w:pos="425"/>
        </w:tabs>
        <w:ind w:left="425" w:hanging="425"/>
      </w:pPr>
      <w:rPr>
        <w:rFonts w:hint="eastAsia"/>
      </w:rPr>
    </w:lvl>
    <w:lvl w:ilvl="1" w:tentative="1">
      <w:start w:val="1"/>
      <w:numFmt w:val="decimal"/>
      <w:lvlText w:val="%113.%2"/>
      <w:lvlJc w:val="left"/>
      <w:pPr>
        <w:tabs>
          <w:tab w:val="left" w:pos="992"/>
        </w:tabs>
        <w:ind w:left="992" w:hanging="567"/>
      </w:pPr>
      <w:rPr>
        <w:rFonts w:hint="eastAsia" w:ascii="新宋体" w:hAnsi="新宋体" w:eastAsia="新宋体" w:cs="黑体"/>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68620476">
    <w:nsid w:val="041710BC"/>
    <w:multiLevelType w:val="multilevel"/>
    <w:tmpl w:val="041710BC"/>
    <w:lvl w:ilvl="0" w:tentative="1">
      <w:start w:val="28"/>
      <w:numFmt w:val="decimal"/>
      <w:lvlText w:val="%1"/>
      <w:lvlJc w:val="left"/>
      <w:pPr>
        <w:tabs>
          <w:tab w:val="left" w:pos="0"/>
        </w:tabs>
        <w:ind w:left="450" w:hanging="450"/>
      </w:pPr>
      <w:rPr>
        <w:rFonts w:hint="default"/>
      </w:rPr>
    </w:lvl>
    <w:lvl w:ilvl="1" w:tentative="1">
      <w:start w:val="1"/>
      <w:numFmt w:val="decimal"/>
      <w:lvlText w:val="%1.%2"/>
      <w:lvlJc w:val="left"/>
      <w:pPr>
        <w:tabs>
          <w:tab w:val="left" w:pos="0"/>
        </w:tabs>
        <w:ind w:left="450" w:hanging="450"/>
      </w:pPr>
      <w:rPr>
        <w:rFonts w:hint="default"/>
      </w:rPr>
    </w:lvl>
    <w:lvl w:ilvl="2" w:tentative="1">
      <w:start w:val="1"/>
      <w:numFmt w:val="decimal"/>
      <w:lvlText w:val="%1.%2.%3"/>
      <w:lvlJc w:val="left"/>
      <w:pPr>
        <w:tabs>
          <w:tab w:val="left" w:pos="0"/>
        </w:tabs>
        <w:ind w:left="720" w:hanging="720"/>
      </w:pPr>
      <w:rPr>
        <w:rFonts w:hint="default"/>
      </w:rPr>
    </w:lvl>
    <w:lvl w:ilvl="3" w:tentative="1">
      <w:start w:val="1"/>
      <w:numFmt w:val="decimal"/>
      <w:lvlText w:val="%1.%2.%3.%4"/>
      <w:lvlJc w:val="left"/>
      <w:pPr>
        <w:tabs>
          <w:tab w:val="left" w:pos="0"/>
        </w:tabs>
        <w:ind w:left="1080" w:hanging="1080"/>
      </w:pPr>
      <w:rPr>
        <w:rFonts w:hint="default"/>
      </w:rPr>
    </w:lvl>
    <w:lvl w:ilvl="4" w:tentative="1">
      <w:start w:val="1"/>
      <w:numFmt w:val="decimal"/>
      <w:lvlText w:val="%1.%2.%3.%4.%5"/>
      <w:lvlJc w:val="left"/>
      <w:pPr>
        <w:tabs>
          <w:tab w:val="left" w:pos="0"/>
        </w:tabs>
        <w:ind w:left="1080" w:hanging="1080"/>
      </w:pPr>
      <w:rPr>
        <w:rFonts w:hint="default"/>
      </w:rPr>
    </w:lvl>
    <w:lvl w:ilvl="5" w:tentative="1">
      <w:start w:val="1"/>
      <w:numFmt w:val="decimal"/>
      <w:lvlText w:val="%1.%2.%3.%4.%5.%6"/>
      <w:lvlJc w:val="left"/>
      <w:pPr>
        <w:tabs>
          <w:tab w:val="left" w:pos="0"/>
        </w:tabs>
        <w:ind w:left="1440" w:hanging="1440"/>
      </w:pPr>
      <w:rPr>
        <w:rFonts w:hint="default"/>
      </w:rPr>
    </w:lvl>
    <w:lvl w:ilvl="6" w:tentative="1">
      <w:start w:val="1"/>
      <w:numFmt w:val="decimal"/>
      <w:lvlText w:val="%1.%2.%3.%4.%5.%6.%7"/>
      <w:lvlJc w:val="left"/>
      <w:pPr>
        <w:tabs>
          <w:tab w:val="left" w:pos="0"/>
        </w:tabs>
        <w:ind w:left="1440" w:hanging="1440"/>
      </w:pPr>
      <w:rPr>
        <w:rFonts w:hint="default"/>
      </w:rPr>
    </w:lvl>
    <w:lvl w:ilvl="7" w:tentative="1">
      <w:start w:val="1"/>
      <w:numFmt w:val="decimal"/>
      <w:lvlText w:val="%1.%2.%3.%4.%5.%6.%7.%8"/>
      <w:lvlJc w:val="left"/>
      <w:pPr>
        <w:tabs>
          <w:tab w:val="left" w:pos="0"/>
        </w:tabs>
        <w:ind w:left="1800" w:hanging="1800"/>
      </w:pPr>
      <w:rPr>
        <w:rFonts w:hint="default"/>
      </w:rPr>
    </w:lvl>
    <w:lvl w:ilvl="8" w:tentative="1">
      <w:start w:val="1"/>
      <w:numFmt w:val="decimal"/>
      <w:lvlText w:val="%1.%2.%3.%4.%5.%6.%7.%8.%9"/>
      <w:lvlJc w:val="left"/>
      <w:pPr>
        <w:tabs>
          <w:tab w:val="left" w:pos="0"/>
        </w:tabs>
        <w:ind w:left="2160" w:hanging="2160"/>
      </w:pPr>
      <w:rPr>
        <w:rFonts w:hint="default"/>
      </w:rPr>
    </w:lvl>
  </w:abstractNum>
  <w:abstractNum w:abstractNumId="1247618446">
    <w:nsid w:val="4A5D258E"/>
    <w:multiLevelType w:val="multilevel"/>
    <w:tmpl w:val="4A5D258E"/>
    <w:lvl w:ilvl="0" w:tentative="1">
      <w:start w:val="5"/>
      <w:numFmt w:val="decimal"/>
      <w:lvlText w:val="%1."/>
      <w:lvlJc w:val="left"/>
      <w:pPr>
        <w:tabs>
          <w:tab w:val="left" w:pos="2264"/>
        </w:tabs>
        <w:ind w:left="2264" w:hanging="420"/>
      </w:pPr>
      <w:rPr>
        <w:rFonts w:hint="eastAsia" w:ascii="新宋体" w:hAnsi="新宋体" w:eastAsia="新宋体" w:cs="Tahoma"/>
      </w:rPr>
    </w:lvl>
    <w:lvl w:ilvl="1" w:tentative="1">
      <w:start w:val="0"/>
      <w:numFmt w:val="none"/>
      <w:lvlText w:val=""/>
      <w:lvlJc w:val="left"/>
      <w:pPr>
        <w:tabs>
          <w:tab w:val="left" w:pos="360"/>
        </w:tabs>
        <w:ind w:left="0" w:firstLine="0"/>
      </w:pPr>
      <w:rPr>
        <w:rFonts w:hint="eastAsia"/>
      </w:rPr>
    </w:lvl>
    <w:lvl w:ilvl="2" w:tentative="1">
      <w:start w:val="0"/>
      <w:numFmt w:val="none"/>
      <w:lvlText w:val=""/>
      <w:lvlJc w:val="left"/>
      <w:pPr>
        <w:tabs>
          <w:tab w:val="left" w:pos="360"/>
        </w:tabs>
        <w:ind w:left="0" w:firstLine="0"/>
      </w:pPr>
      <w:rPr>
        <w:rFonts w:hint="eastAsia"/>
      </w:rPr>
    </w:lvl>
    <w:lvl w:ilvl="3" w:tentative="1">
      <w:start w:val="0"/>
      <w:numFmt w:val="none"/>
      <w:lvlText w:val=""/>
      <w:lvlJc w:val="left"/>
      <w:pPr>
        <w:tabs>
          <w:tab w:val="left" w:pos="360"/>
        </w:tabs>
        <w:ind w:left="0" w:firstLine="0"/>
      </w:pPr>
      <w:rPr>
        <w:rFonts w:hint="eastAsia"/>
      </w:rPr>
    </w:lvl>
    <w:lvl w:ilvl="4" w:tentative="1">
      <w:start w:val="0"/>
      <w:numFmt w:val="none"/>
      <w:lvlText w:val=""/>
      <w:lvlJc w:val="left"/>
      <w:pPr>
        <w:tabs>
          <w:tab w:val="left" w:pos="360"/>
        </w:tabs>
        <w:ind w:left="0" w:firstLine="0"/>
      </w:pPr>
      <w:rPr>
        <w:rFonts w:hint="eastAsia"/>
      </w:rPr>
    </w:lvl>
    <w:lvl w:ilvl="5" w:tentative="1">
      <w:start w:val="0"/>
      <w:numFmt w:val="none"/>
      <w:lvlText w:val=""/>
      <w:lvlJc w:val="left"/>
      <w:pPr>
        <w:tabs>
          <w:tab w:val="left" w:pos="360"/>
        </w:tabs>
        <w:ind w:left="0" w:firstLine="0"/>
      </w:pPr>
      <w:rPr>
        <w:rFonts w:hint="eastAsia"/>
      </w:rPr>
    </w:lvl>
    <w:lvl w:ilvl="6" w:tentative="1">
      <w:start w:val="0"/>
      <w:numFmt w:val="none"/>
      <w:lvlText w:val=""/>
      <w:lvlJc w:val="left"/>
      <w:pPr>
        <w:tabs>
          <w:tab w:val="left" w:pos="360"/>
        </w:tabs>
        <w:ind w:left="0" w:firstLine="0"/>
      </w:pPr>
      <w:rPr>
        <w:rFonts w:hint="eastAsia"/>
      </w:rPr>
    </w:lvl>
    <w:lvl w:ilvl="7" w:tentative="1">
      <w:start w:val="0"/>
      <w:numFmt w:val="none"/>
      <w:lvlText w:val=""/>
      <w:lvlJc w:val="left"/>
      <w:pPr>
        <w:tabs>
          <w:tab w:val="left" w:pos="360"/>
        </w:tabs>
        <w:ind w:left="0" w:firstLine="0"/>
      </w:pPr>
      <w:rPr>
        <w:rFonts w:hint="eastAsia"/>
      </w:rPr>
    </w:lvl>
    <w:lvl w:ilvl="8" w:tentative="1">
      <w:start w:val="0"/>
      <w:numFmt w:val="none"/>
      <w:lvlText w:val=""/>
      <w:lvlJc w:val="left"/>
      <w:pPr>
        <w:tabs>
          <w:tab w:val="left" w:pos="360"/>
        </w:tabs>
        <w:ind w:left="0" w:firstLine="0"/>
      </w:pPr>
      <w:rPr>
        <w:rFonts w:hint="eastAsia"/>
      </w:rPr>
    </w:lvl>
  </w:abstractNum>
  <w:abstractNum w:abstractNumId="607396766">
    <w:nsid w:val="2434239E"/>
    <w:multiLevelType w:val="multilevel"/>
    <w:tmpl w:val="2434239E"/>
    <w:lvl w:ilvl="0" w:tentative="1">
      <w:start w:val="1"/>
      <w:numFmt w:val="decimal"/>
      <w:lvlText w:val="%1."/>
      <w:lvlJc w:val="left"/>
      <w:pPr>
        <w:tabs>
          <w:tab w:val="left" w:pos="420"/>
        </w:tabs>
        <w:ind w:left="420" w:hanging="420"/>
      </w:pPr>
      <w:rPr>
        <w:rFonts w:hint="eastAsia" w:ascii="新宋体" w:hAnsi="新宋体" w:eastAsia="新宋体" w:cs="黑体"/>
      </w:rPr>
    </w:lvl>
    <w:lvl w:ilvl="1" w:tentative="1">
      <w:start w:val="0"/>
      <w:numFmt w:val="none"/>
      <w:lvlText w:val=""/>
      <w:lvlJc w:val="left"/>
      <w:pPr>
        <w:tabs>
          <w:tab w:val="left" w:pos="360"/>
        </w:tabs>
      </w:pPr>
    </w:lvl>
    <w:lvl w:ilvl="2" w:tentative="1">
      <w:start w:val="0"/>
      <w:numFmt w:val="none"/>
      <w:lvlText w:val=""/>
      <w:lvlJc w:val="left"/>
      <w:pPr>
        <w:tabs>
          <w:tab w:val="left" w:pos="360"/>
        </w:tabs>
      </w:pPr>
    </w:lvl>
    <w:lvl w:ilvl="3" w:tentative="1">
      <w:start w:val="0"/>
      <w:numFmt w:val="none"/>
      <w:lvlText w:val=""/>
      <w:lvlJc w:val="left"/>
      <w:pPr>
        <w:tabs>
          <w:tab w:val="left" w:pos="360"/>
        </w:tabs>
      </w:pPr>
    </w:lvl>
    <w:lvl w:ilvl="4" w:tentative="1">
      <w:start w:val="0"/>
      <w:numFmt w:val="none"/>
      <w:lvlText w:val=""/>
      <w:lvlJc w:val="left"/>
      <w:pPr>
        <w:tabs>
          <w:tab w:val="left" w:pos="360"/>
        </w:tabs>
      </w:pPr>
    </w:lvl>
    <w:lvl w:ilvl="5" w:tentative="1">
      <w:start w:val="0"/>
      <w:numFmt w:val="none"/>
      <w:lvlText w:val=""/>
      <w:lvlJc w:val="left"/>
      <w:pPr>
        <w:tabs>
          <w:tab w:val="left" w:pos="360"/>
        </w:tabs>
      </w:pPr>
    </w:lvl>
    <w:lvl w:ilvl="6" w:tentative="1">
      <w:start w:val="0"/>
      <w:numFmt w:val="none"/>
      <w:lvlText w:val=""/>
      <w:lvlJc w:val="left"/>
      <w:pPr>
        <w:tabs>
          <w:tab w:val="left" w:pos="360"/>
        </w:tabs>
      </w:pPr>
    </w:lvl>
    <w:lvl w:ilvl="7" w:tentative="1">
      <w:start w:val="0"/>
      <w:numFmt w:val="none"/>
      <w:lvlText w:val=""/>
      <w:lvlJc w:val="left"/>
      <w:pPr>
        <w:tabs>
          <w:tab w:val="left" w:pos="360"/>
        </w:tabs>
      </w:pPr>
    </w:lvl>
    <w:lvl w:ilvl="8" w:tentative="1">
      <w:start w:val="0"/>
      <w:numFmt w:val="none"/>
      <w:lvlText w:val=""/>
      <w:lvlJc w:val="left"/>
      <w:pPr>
        <w:tabs>
          <w:tab w:val="left" w:pos="360"/>
        </w:tabs>
      </w:pPr>
    </w:lvl>
  </w:abstractNum>
  <w:abstractNum w:abstractNumId="418330639">
    <w:nsid w:val="18EF380F"/>
    <w:multiLevelType w:val="multilevel"/>
    <w:tmpl w:val="18EF380F"/>
    <w:lvl w:ilvl="0" w:tentative="1">
      <w:start w:val="1"/>
      <w:numFmt w:val="none"/>
      <w:lvlText w:val="2"/>
      <w:lvlJc w:val="left"/>
      <w:pPr>
        <w:tabs>
          <w:tab w:val="left" w:pos="425"/>
        </w:tabs>
        <w:ind w:left="425" w:hanging="425"/>
      </w:pPr>
      <w:rPr>
        <w:rFonts w:hint="eastAsia"/>
      </w:rPr>
    </w:lvl>
    <w:lvl w:ilvl="1" w:tentative="1">
      <w:start w:val="1"/>
      <w:numFmt w:val="decimal"/>
      <w:lvlText w:val="%114.%2"/>
      <w:lvlJc w:val="left"/>
      <w:pPr>
        <w:tabs>
          <w:tab w:val="left" w:pos="992"/>
        </w:tabs>
        <w:ind w:left="992" w:hanging="567"/>
      </w:pPr>
      <w:rPr>
        <w:rFonts w:hint="eastAsia" w:ascii="新宋体" w:hAnsi="新宋体" w:eastAsia="新宋体" w:cs="黑体"/>
        <w:b w:val="0"/>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1571997805">
    <w:nsid w:val="5DB2C86D"/>
    <w:multiLevelType w:val="singleLevel"/>
    <w:tmpl w:val="5DB2C86D"/>
    <w:lvl w:ilvl="0" w:tentative="1">
      <w:start w:val="1"/>
      <w:numFmt w:val="chineseCounting"/>
      <w:suff w:val="nothing"/>
      <w:lvlText w:val="%1、"/>
      <w:lvlJc w:val="left"/>
    </w:lvl>
  </w:abstractNum>
  <w:abstractNum w:abstractNumId="2035184706">
    <w:nsid w:val="794E7442"/>
    <w:multiLevelType w:val="multilevel"/>
    <w:tmpl w:val="794E7442"/>
    <w:lvl w:ilvl="0" w:tentative="1">
      <w:start w:val="22"/>
      <w:numFmt w:val="decimal"/>
      <w:lvlText w:val="%1"/>
      <w:lvlJc w:val="left"/>
      <w:pPr>
        <w:tabs>
          <w:tab w:val="left" w:pos="0"/>
        </w:tabs>
        <w:ind w:left="450" w:hanging="450"/>
      </w:pPr>
      <w:rPr>
        <w:rFonts w:hint="default"/>
      </w:rPr>
    </w:lvl>
    <w:lvl w:ilvl="1" w:tentative="1">
      <w:start w:val="1"/>
      <w:numFmt w:val="decimal"/>
      <w:lvlText w:val="22.%2"/>
      <w:lvlJc w:val="left"/>
      <w:pPr>
        <w:tabs>
          <w:tab w:val="left" w:pos="0"/>
        </w:tabs>
        <w:ind w:left="985" w:hanging="450"/>
      </w:pPr>
      <w:rPr>
        <w:rFonts w:hint="default"/>
      </w:rPr>
    </w:lvl>
    <w:lvl w:ilvl="2" w:tentative="1">
      <w:start w:val="1"/>
      <w:numFmt w:val="decimal"/>
      <w:lvlText w:val="%1.%2.%3"/>
      <w:lvlJc w:val="left"/>
      <w:pPr>
        <w:tabs>
          <w:tab w:val="left" w:pos="0"/>
        </w:tabs>
        <w:ind w:left="1790" w:hanging="720"/>
      </w:pPr>
      <w:rPr>
        <w:rFonts w:hint="default"/>
      </w:rPr>
    </w:lvl>
    <w:lvl w:ilvl="3" w:tentative="1">
      <w:start w:val="1"/>
      <w:numFmt w:val="decimal"/>
      <w:lvlText w:val="%1.%2.%3.%4"/>
      <w:lvlJc w:val="left"/>
      <w:pPr>
        <w:tabs>
          <w:tab w:val="left" w:pos="0"/>
        </w:tabs>
        <w:ind w:left="2685" w:hanging="1080"/>
      </w:pPr>
      <w:rPr>
        <w:rFonts w:hint="default"/>
      </w:rPr>
    </w:lvl>
    <w:lvl w:ilvl="4" w:tentative="1">
      <w:start w:val="1"/>
      <w:numFmt w:val="decimal"/>
      <w:lvlText w:val="%1.%2.%3.%4.%5"/>
      <w:lvlJc w:val="left"/>
      <w:pPr>
        <w:tabs>
          <w:tab w:val="left" w:pos="0"/>
        </w:tabs>
        <w:ind w:left="3220" w:hanging="1080"/>
      </w:pPr>
      <w:rPr>
        <w:rFonts w:hint="default"/>
      </w:rPr>
    </w:lvl>
    <w:lvl w:ilvl="5" w:tentative="1">
      <w:start w:val="1"/>
      <w:numFmt w:val="decimal"/>
      <w:lvlText w:val="%1.%2.%3.%4.%5.%6"/>
      <w:lvlJc w:val="left"/>
      <w:pPr>
        <w:tabs>
          <w:tab w:val="left" w:pos="0"/>
        </w:tabs>
        <w:ind w:left="4115" w:hanging="1440"/>
      </w:pPr>
      <w:rPr>
        <w:rFonts w:hint="default"/>
      </w:rPr>
    </w:lvl>
    <w:lvl w:ilvl="6" w:tentative="1">
      <w:start w:val="1"/>
      <w:numFmt w:val="decimal"/>
      <w:lvlText w:val="%1.%2.%3.%4.%5.%6.%7"/>
      <w:lvlJc w:val="left"/>
      <w:pPr>
        <w:tabs>
          <w:tab w:val="left" w:pos="0"/>
        </w:tabs>
        <w:ind w:left="4650" w:hanging="1440"/>
      </w:pPr>
      <w:rPr>
        <w:rFonts w:hint="default"/>
      </w:rPr>
    </w:lvl>
    <w:lvl w:ilvl="7" w:tentative="1">
      <w:start w:val="1"/>
      <w:numFmt w:val="decimal"/>
      <w:lvlText w:val="%1.%2.%3.%4.%5.%6.%7.%8"/>
      <w:lvlJc w:val="left"/>
      <w:pPr>
        <w:tabs>
          <w:tab w:val="left" w:pos="0"/>
        </w:tabs>
        <w:ind w:left="5545" w:hanging="1800"/>
      </w:pPr>
      <w:rPr>
        <w:rFonts w:hint="default"/>
      </w:rPr>
    </w:lvl>
    <w:lvl w:ilvl="8" w:tentative="1">
      <w:start w:val="1"/>
      <w:numFmt w:val="decimal"/>
      <w:lvlText w:val="%1.%2.%3.%4.%5.%6.%7.%8.%9"/>
      <w:lvlJc w:val="left"/>
      <w:pPr>
        <w:tabs>
          <w:tab w:val="left" w:pos="0"/>
        </w:tabs>
        <w:ind w:left="6440" w:hanging="2160"/>
      </w:pPr>
      <w:rPr>
        <w:rFonts w:hint="default"/>
      </w:rPr>
    </w:lvl>
  </w:abstractNum>
  <w:abstractNum w:abstractNumId="1183474128">
    <w:nsid w:val="468A61D0"/>
    <w:multiLevelType w:val="singleLevel"/>
    <w:tmpl w:val="468A61D0"/>
    <w:lvl w:ilvl="0" w:tentative="1">
      <w:start w:val="2"/>
      <w:numFmt w:val="chineseCounting"/>
      <w:suff w:val="space"/>
      <w:lvlText w:val="第%1部分"/>
      <w:lvlJc w:val="left"/>
      <w:rPr>
        <w:rFonts w:hint="eastAsia"/>
      </w:rPr>
    </w:lvl>
  </w:abstractNum>
  <w:abstractNum w:abstractNumId="1994333985">
    <w:nsid w:val="76DF1F21"/>
    <w:multiLevelType w:val="multilevel"/>
    <w:tmpl w:val="76DF1F21"/>
    <w:lvl w:ilvl="0" w:tentative="1">
      <w:start w:val="1"/>
      <w:numFmt w:val="none"/>
      <w:lvlText w:val="2"/>
      <w:lvlJc w:val="left"/>
      <w:pPr>
        <w:tabs>
          <w:tab w:val="left" w:pos="425"/>
        </w:tabs>
        <w:ind w:left="425" w:hanging="425"/>
      </w:pPr>
      <w:rPr>
        <w:rFonts w:hint="eastAsia"/>
      </w:rPr>
    </w:lvl>
    <w:lvl w:ilvl="1" w:tentative="1">
      <w:start w:val="1"/>
      <w:numFmt w:val="decimal"/>
      <w:lvlText w:val="%111.%2"/>
      <w:lvlJc w:val="left"/>
      <w:pPr>
        <w:tabs>
          <w:tab w:val="left" w:pos="992"/>
        </w:tabs>
        <w:ind w:left="992" w:hanging="567"/>
      </w:pPr>
      <w:rPr>
        <w:rFonts w:hint="eastAsia" w:ascii="新宋体" w:hAnsi="新宋体" w:eastAsia="新宋体" w:cs="黑体"/>
        <w:b w:val="0"/>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1563587961">
    <w:nsid w:val="5D327579"/>
    <w:multiLevelType w:val="singleLevel"/>
    <w:tmpl w:val="5D327579"/>
    <w:lvl w:ilvl="0" w:tentative="1">
      <w:start w:val="1"/>
      <w:numFmt w:val="decimal"/>
      <w:suff w:val="nothing"/>
      <w:lvlText w:val="%1、"/>
      <w:lvlJc w:val="left"/>
    </w:lvl>
  </w:abstractNum>
  <w:abstractNum w:abstractNumId="1306735232">
    <w:nsid w:val="4DE33280"/>
    <w:multiLevelType w:val="multilevel"/>
    <w:tmpl w:val="4DE33280"/>
    <w:lvl w:ilvl="0" w:tentative="1">
      <w:start w:val="1"/>
      <w:numFmt w:val="none"/>
      <w:lvlText w:val="2"/>
      <w:lvlJc w:val="left"/>
      <w:pPr>
        <w:tabs>
          <w:tab w:val="left" w:pos="425"/>
        </w:tabs>
        <w:ind w:left="425" w:hanging="425"/>
      </w:pPr>
      <w:rPr>
        <w:rFonts w:hint="eastAsia"/>
      </w:rPr>
    </w:lvl>
    <w:lvl w:ilvl="1" w:tentative="1">
      <w:start w:val="1"/>
      <w:numFmt w:val="decimal"/>
      <w:lvlText w:val="%17.%2"/>
      <w:lvlJc w:val="left"/>
      <w:pPr>
        <w:tabs>
          <w:tab w:val="left" w:pos="1701"/>
        </w:tabs>
        <w:ind w:left="1701" w:hanging="567"/>
      </w:pPr>
      <w:rPr>
        <w:rFonts w:hint="eastAsia" w:ascii="新宋体" w:hAnsi="新宋体" w:eastAsia="新宋体" w:cs="Tahoma"/>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49">
    <w:nsid w:val="00000031"/>
    <w:multiLevelType w:val="multilevel"/>
    <w:tmpl w:val="00000031"/>
    <w:lvl w:ilvl="0" w:tentative="1">
      <w:start w:val="1"/>
      <w:numFmt w:val="none"/>
      <w:lvlText w:val="2"/>
      <w:lvlJc w:val="left"/>
      <w:pPr>
        <w:tabs>
          <w:tab w:val="left" w:pos="425"/>
        </w:tabs>
        <w:ind w:left="425" w:hanging="425"/>
      </w:pPr>
      <w:rPr>
        <w:rFonts w:hint="eastAsia"/>
      </w:rPr>
    </w:lvl>
    <w:lvl w:ilvl="1" w:tentative="1">
      <w:start w:val="1"/>
      <w:numFmt w:val="decimal"/>
      <w:lvlText w:val="%116.%2"/>
      <w:lvlJc w:val="left"/>
      <w:pPr>
        <w:tabs>
          <w:tab w:val="left" w:pos="992"/>
        </w:tabs>
        <w:ind w:left="992" w:hanging="567"/>
      </w:pPr>
      <w:rPr>
        <w:rFonts w:hint="eastAsia" w:ascii="新宋体" w:hAnsi="新宋体" w:eastAsia="新宋体" w:cs="黑体"/>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1516461389">
    <w:nsid w:val="5A635D4D"/>
    <w:multiLevelType w:val="multilevel"/>
    <w:tmpl w:val="5A635D4D"/>
    <w:lvl w:ilvl="0" w:tentative="1">
      <w:start w:val="1"/>
      <w:numFmt w:val="decimal"/>
      <w:lvlText w:val="%1)"/>
      <w:lvlJc w:val="left"/>
      <w:pPr>
        <w:ind w:left="840" w:hanging="420"/>
      </w:pPr>
    </w:lvl>
    <w:lvl w:ilvl="1" w:tentative="1">
      <w:start w:val="1"/>
      <w:numFmt w:val="decimal"/>
      <w:lvlText w:val="（%2）"/>
      <w:lvlJc w:val="left"/>
      <w:pPr>
        <w:ind w:left="1560" w:hanging="72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36476179">
    <w:nsid w:val="736C4813"/>
    <w:multiLevelType w:val="multilevel"/>
    <w:tmpl w:val="736C4813"/>
    <w:lvl w:ilvl="0" w:tentative="1">
      <w:start w:val="1"/>
      <w:numFmt w:val="none"/>
      <w:lvlText w:val="2"/>
      <w:lvlJc w:val="left"/>
      <w:pPr>
        <w:tabs>
          <w:tab w:val="left" w:pos="425"/>
        </w:tabs>
        <w:ind w:left="425" w:hanging="425"/>
      </w:pPr>
      <w:rPr>
        <w:rFonts w:hint="eastAsia"/>
      </w:rPr>
    </w:lvl>
    <w:lvl w:ilvl="1" w:tentative="1">
      <w:start w:val="1"/>
      <w:numFmt w:val="decimal"/>
      <w:lvlText w:val="%110.%2"/>
      <w:lvlJc w:val="left"/>
      <w:pPr>
        <w:tabs>
          <w:tab w:val="left" w:pos="992"/>
        </w:tabs>
        <w:ind w:left="992" w:hanging="567"/>
      </w:pPr>
      <w:rPr>
        <w:rFonts w:hint="eastAsia"/>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1878741537">
    <w:nsid w:val="6FFB5221"/>
    <w:multiLevelType w:val="multilevel"/>
    <w:tmpl w:val="6FFB5221"/>
    <w:lvl w:ilvl="0" w:tentative="1">
      <w:start w:val="1"/>
      <w:numFmt w:val="none"/>
      <w:lvlText w:val="2"/>
      <w:lvlJc w:val="left"/>
      <w:pPr>
        <w:tabs>
          <w:tab w:val="left" w:pos="425"/>
        </w:tabs>
        <w:ind w:left="425" w:hanging="425"/>
      </w:pPr>
      <w:rPr>
        <w:rFonts w:hint="eastAsia"/>
      </w:rPr>
    </w:lvl>
    <w:lvl w:ilvl="1" w:tentative="1">
      <w:start w:val="1"/>
      <w:numFmt w:val="decimal"/>
      <w:lvlText w:val="%121.%2"/>
      <w:lvlJc w:val="left"/>
      <w:pPr>
        <w:tabs>
          <w:tab w:val="left" w:pos="850"/>
        </w:tabs>
        <w:ind w:left="850" w:hanging="567"/>
      </w:pPr>
      <w:rPr>
        <w:rFonts w:hint="eastAsia" w:ascii="新宋体" w:hAnsi="新宋体" w:eastAsia="新宋体" w:cs="黑体"/>
        <w:b w:val="0"/>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100535787">
    <w:nsid w:val="05FE0DEB"/>
    <w:multiLevelType w:val="multilevel"/>
    <w:tmpl w:val="05FE0DEB"/>
    <w:lvl w:ilvl="0" w:tentative="1">
      <w:start w:val="1"/>
      <w:numFmt w:val="none"/>
      <w:lvlText w:val="2"/>
      <w:lvlJc w:val="left"/>
      <w:pPr>
        <w:tabs>
          <w:tab w:val="left" w:pos="425"/>
        </w:tabs>
        <w:ind w:left="425" w:hanging="425"/>
      </w:pPr>
      <w:rPr>
        <w:rFonts w:hint="eastAsia"/>
      </w:rPr>
    </w:lvl>
    <w:lvl w:ilvl="1" w:tentative="1">
      <w:start w:val="1"/>
      <w:numFmt w:val="decimal"/>
      <w:lvlText w:val="%117.%2"/>
      <w:lvlJc w:val="left"/>
      <w:pPr>
        <w:tabs>
          <w:tab w:val="left" w:pos="992"/>
        </w:tabs>
        <w:ind w:left="992" w:hanging="567"/>
      </w:pPr>
      <w:rPr>
        <w:rFonts w:hint="eastAsia" w:ascii="新宋体" w:hAnsi="新宋体" w:eastAsia="新宋体" w:cs="黑体"/>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1872641692">
    <w:nsid w:val="6F9E3E9C"/>
    <w:multiLevelType w:val="multilevel"/>
    <w:tmpl w:val="6F9E3E9C"/>
    <w:lvl w:ilvl="0" w:tentative="1">
      <w:start w:val="1"/>
      <w:numFmt w:val="none"/>
      <w:lvlText w:val="2"/>
      <w:lvlJc w:val="left"/>
      <w:pPr>
        <w:tabs>
          <w:tab w:val="left" w:pos="425"/>
        </w:tabs>
        <w:ind w:left="425" w:hanging="425"/>
      </w:pPr>
      <w:rPr>
        <w:rFonts w:hint="eastAsia"/>
      </w:rPr>
    </w:lvl>
    <w:lvl w:ilvl="1" w:tentative="1">
      <w:start w:val="1"/>
      <w:numFmt w:val="decimal"/>
      <w:lvlText w:val="%115.%2"/>
      <w:lvlJc w:val="left"/>
      <w:pPr>
        <w:tabs>
          <w:tab w:val="left" w:pos="992"/>
        </w:tabs>
        <w:ind w:left="992" w:hanging="567"/>
      </w:pPr>
      <w:rPr>
        <w:rFonts w:hint="eastAsia" w:ascii="新宋体" w:hAnsi="新宋体" w:eastAsia="新宋体" w:cs="黑体"/>
        <w:b w:val="0"/>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num w:numId="1">
    <w:abstractNumId w:val="607396766"/>
  </w:num>
  <w:num w:numId="2">
    <w:abstractNumId w:val="1247618446"/>
  </w:num>
  <w:num w:numId="3">
    <w:abstractNumId w:val="1306735232"/>
  </w:num>
  <w:num w:numId="4">
    <w:abstractNumId w:val="1936476179"/>
  </w:num>
  <w:num w:numId="5">
    <w:abstractNumId w:val="1994333985"/>
  </w:num>
  <w:num w:numId="6">
    <w:abstractNumId w:val="1355576014"/>
  </w:num>
  <w:num w:numId="7">
    <w:abstractNumId w:val="418330639"/>
  </w:num>
  <w:num w:numId="8">
    <w:abstractNumId w:val="1872641692"/>
  </w:num>
  <w:num w:numId="9">
    <w:abstractNumId w:val="49"/>
  </w:num>
  <w:num w:numId="10">
    <w:abstractNumId w:val="100535787"/>
  </w:num>
  <w:num w:numId="11">
    <w:abstractNumId w:val="938029707"/>
  </w:num>
  <w:num w:numId="12">
    <w:abstractNumId w:val="1878741537"/>
  </w:num>
  <w:num w:numId="13">
    <w:abstractNumId w:val="1516461389"/>
  </w:num>
  <w:num w:numId="14">
    <w:abstractNumId w:val="2035184706"/>
  </w:num>
  <w:num w:numId="15">
    <w:abstractNumId w:val="1726560424"/>
  </w:num>
  <w:num w:numId="16">
    <w:abstractNumId w:val="68620476"/>
  </w:num>
  <w:num w:numId="17">
    <w:abstractNumId w:val="1183474128"/>
  </w:num>
  <w:num w:numId="18">
    <w:abstractNumId w:val="1571997805"/>
  </w:num>
  <w:num w:numId="19">
    <w:abstractNumId w:val="1563587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gutterAtTop/>
  <w:documentProtection w:enforcement="0"/>
  <w:defaultTabStop w:val="420"/>
  <w:drawingGridHorizontalSpacing w:val="107"/>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3BF"/>
    <w:rsid w:val="000271AD"/>
    <w:rsid w:val="000356EA"/>
    <w:rsid w:val="00036BD4"/>
    <w:rsid w:val="00042917"/>
    <w:rsid w:val="000502F0"/>
    <w:rsid w:val="00052D3A"/>
    <w:rsid w:val="000540C0"/>
    <w:rsid w:val="000551F7"/>
    <w:rsid w:val="000637ED"/>
    <w:rsid w:val="00071374"/>
    <w:rsid w:val="00076E09"/>
    <w:rsid w:val="00081BBF"/>
    <w:rsid w:val="00095692"/>
    <w:rsid w:val="000A1F0A"/>
    <w:rsid w:val="000A4BD2"/>
    <w:rsid w:val="000C38C9"/>
    <w:rsid w:val="000C7474"/>
    <w:rsid w:val="000D3320"/>
    <w:rsid w:val="000D6398"/>
    <w:rsid w:val="000E5A6A"/>
    <w:rsid w:val="000E617E"/>
    <w:rsid w:val="000F2A03"/>
    <w:rsid w:val="00112BE6"/>
    <w:rsid w:val="00112C2F"/>
    <w:rsid w:val="00114A21"/>
    <w:rsid w:val="00115523"/>
    <w:rsid w:val="001303A8"/>
    <w:rsid w:val="00133ED8"/>
    <w:rsid w:val="0013537E"/>
    <w:rsid w:val="001472F5"/>
    <w:rsid w:val="00157364"/>
    <w:rsid w:val="00165ECB"/>
    <w:rsid w:val="00170A71"/>
    <w:rsid w:val="00172A27"/>
    <w:rsid w:val="00172D49"/>
    <w:rsid w:val="00177F85"/>
    <w:rsid w:val="00180403"/>
    <w:rsid w:val="00184410"/>
    <w:rsid w:val="00187587"/>
    <w:rsid w:val="00190CE0"/>
    <w:rsid w:val="0019407D"/>
    <w:rsid w:val="001A6809"/>
    <w:rsid w:val="001B4F46"/>
    <w:rsid w:val="001C16BF"/>
    <w:rsid w:val="001C1DCF"/>
    <w:rsid w:val="001C2245"/>
    <w:rsid w:val="001C5500"/>
    <w:rsid w:val="001D3628"/>
    <w:rsid w:val="001D4018"/>
    <w:rsid w:val="001E53EB"/>
    <w:rsid w:val="001F0F21"/>
    <w:rsid w:val="001F2A84"/>
    <w:rsid w:val="001F5A3F"/>
    <w:rsid w:val="0020363F"/>
    <w:rsid w:val="00217D3C"/>
    <w:rsid w:val="00221583"/>
    <w:rsid w:val="002265BB"/>
    <w:rsid w:val="00244D74"/>
    <w:rsid w:val="00250121"/>
    <w:rsid w:val="00263D52"/>
    <w:rsid w:val="0028158E"/>
    <w:rsid w:val="002864A6"/>
    <w:rsid w:val="00297679"/>
    <w:rsid w:val="002A14D7"/>
    <w:rsid w:val="002B0122"/>
    <w:rsid w:val="002B36B1"/>
    <w:rsid w:val="002B6083"/>
    <w:rsid w:val="002C3BC6"/>
    <w:rsid w:val="002C6F2A"/>
    <w:rsid w:val="002D0007"/>
    <w:rsid w:val="002D49AF"/>
    <w:rsid w:val="002F41CF"/>
    <w:rsid w:val="002F629B"/>
    <w:rsid w:val="00304F68"/>
    <w:rsid w:val="003168A8"/>
    <w:rsid w:val="00326FB5"/>
    <w:rsid w:val="003415D7"/>
    <w:rsid w:val="00345F4D"/>
    <w:rsid w:val="00346CE5"/>
    <w:rsid w:val="003475D8"/>
    <w:rsid w:val="00351F9D"/>
    <w:rsid w:val="00360FA1"/>
    <w:rsid w:val="00363F26"/>
    <w:rsid w:val="00397053"/>
    <w:rsid w:val="003978BF"/>
    <w:rsid w:val="003A1952"/>
    <w:rsid w:val="003A1F17"/>
    <w:rsid w:val="003B45F1"/>
    <w:rsid w:val="003B4BD9"/>
    <w:rsid w:val="003B6EE8"/>
    <w:rsid w:val="003C2B42"/>
    <w:rsid w:val="003C7C91"/>
    <w:rsid w:val="003D5798"/>
    <w:rsid w:val="003D7332"/>
    <w:rsid w:val="003E08C4"/>
    <w:rsid w:val="003F32D4"/>
    <w:rsid w:val="00411298"/>
    <w:rsid w:val="004173A0"/>
    <w:rsid w:val="00423C79"/>
    <w:rsid w:val="0042667A"/>
    <w:rsid w:val="00435D7D"/>
    <w:rsid w:val="0044085A"/>
    <w:rsid w:val="0045010E"/>
    <w:rsid w:val="00451F8E"/>
    <w:rsid w:val="00456244"/>
    <w:rsid w:val="004671CE"/>
    <w:rsid w:val="00474837"/>
    <w:rsid w:val="00481848"/>
    <w:rsid w:val="0048301F"/>
    <w:rsid w:val="004A0969"/>
    <w:rsid w:val="004A1085"/>
    <w:rsid w:val="004A154A"/>
    <w:rsid w:val="004A2D03"/>
    <w:rsid w:val="004A5C96"/>
    <w:rsid w:val="004B22AF"/>
    <w:rsid w:val="004B5505"/>
    <w:rsid w:val="004D0617"/>
    <w:rsid w:val="004D1183"/>
    <w:rsid w:val="004D792A"/>
    <w:rsid w:val="004E0361"/>
    <w:rsid w:val="004E2FCF"/>
    <w:rsid w:val="004F2880"/>
    <w:rsid w:val="004F3AC7"/>
    <w:rsid w:val="004F5523"/>
    <w:rsid w:val="0052427E"/>
    <w:rsid w:val="00526CAE"/>
    <w:rsid w:val="005369A0"/>
    <w:rsid w:val="00541A3A"/>
    <w:rsid w:val="00546E68"/>
    <w:rsid w:val="0055538C"/>
    <w:rsid w:val="005565D4"/>
    <w:rsid w:val="00560095"/>
    <w:rsid w:val="005612D1"/>
    <w:rsid w:val="005613B5"/>
    <w:rsid w:val="0056277B"/>
    <w:rsid w:val="00562B18"/>
    <w:rsid w:val="00565DF4"/>
    <w:rsid w:val="0057436F"/>
    <w:rsid w:val="0058070C"/>
    <w:rsid w:val="0058318A"/>
    <w:rsid w:val="005948AA"/>
    <w:rsid w:val="005B3A7F"/>
    <w:rsid w:val="005C585F"/>
    <w:rsid w:val="005D126F"/>
    <w:rsid w:val="005D53EE"/>
    <w:rsid w:val="005D6349"/>
    <w:rsid w:val="005D7B55"/>
    <w:rsid w:val="005E1EA4"/>
    <w:rsid w:val="005F022C"/>
    <w:rsid w:val="00600BC3"/>
    <w:rsid w:val="00604B68"/>
    <w:rsid w:val="006251AF"/>
    <w:rsid w:val="00632C48"/>
    <w:rsid w:val="00645215"/>
    <w:rsid w:val="00645BDE"/>
    <w:rsid w:val="00651B07"/>
    <w:rsid w:val="00653352"/>
    <w:rsid w:val="00654C1E"/>
    <w:rsid w:val="006629E0"/>
    <w:rsid w:val="006630D3"/>
    <w:rsid w:val="00665E92"/>
    <w:rsid w:val="006810DF"/>
    <w:rsid w:val="006A3287"/>
    <w:rsid w:val="006A64B9"/>
    <w:rsid w:val="006B23C3"/>
    <w:rsid w:val="006C1DEF"/>
    <w:rsid w:val="006E1021"/>
    <w:rsid w:val="00704B48"/>
    <w:rsid w:val="00715DB7"/>
    <w:rsid w:val="007179AA"/>
    <w:rsid w:val="00722A83"/>
    <w:rsid w:val="00741EDD"/>
    <w:rsid w:val="00742EF8"/>
    <w:rsid w:val="00750BCC"/>
    <w:rsid w:val="00754EA4"/>
    <w:rsid w:val="00767764"/>
    <w:rsid w:val="00767C3F"/>
    <w:rsid w:val="00775FB0"/>
    <w:rsid w:val="00781DC4"/>
    <w:rsid w:val="00795FBF"/>
    <w:rsid w:val="007A559F"/>
    <w:rsid w:val="007B2BBD"/>
    <w:rsid w:val="007B3174"/>
    <w:rsid w:val="007B6F0E"/>
    <w:rsid w:val="007C72EA"/>
    <w:rsid w:val="007D473B"/>
    <w:rsid w:val="007E1480"/>
    <w:rsid w:val="007F045C"/>
    <w:rsid w:val="007F31C5"/>
    <w:rsid w:val="007F38A4"/>
    <w:rsid w:val="007F516D"/>
    <w:rsid w:val="007F57D9"/>
    <w:rsid w:val="008018B7"/>
    <w:rsid w:val="008024EE"/>
    <w:rsid w:val="00811D8D"/>
    <w:rsid w:val="00821EE1"/>
    <w:rsid w:val="0083547E"/>
    <w:rsid w:val="0084702E"/>
    <w:rsid w:val="00862E71"/>
    <w:rsid w:val="00863D92"/>
    <w:rsid w:val="008754ED"/>
    <w:rsid w:val="00880929"/>
    <w:rsid w:val="00883A5A"/>
    <w:rsid w:val="00884D8E"/>
    <w:rsid w:val="00886D56"/>
    <w:rsid w:val="00894AD9"/>
    <w:rsid w:val="008B4C1B"/>
    <w:rsid w:val="008C248A"/>
    <w:rsid w:val="008E174B"/>
    <w:rsid w:val="00920D19"/>
    <w:rsid w:val="0092122F"/>
    <w:rsid w:val="009251EE"/>
    <w:rsid w:val="00952F27"/>
    <w:rsid w:val="00955CAA"/>
    <w:rsid w:val="009604D7"/>
    <w:rsid w:val="00960D77"/>
    <w:rsid w:val="00964DEE"/>
    <w:rsid w:val="009662EC"/>
    <w:rsid w:val="0097698A"/>
    <w:rsid w:val="00986797"/>
    <w:rsid w:val="00994E7E"/>
    <w:rsid w:val="009A16EA"/>
    <w:rsid w:val="009B0D0B"/>
    <w:rsid w:val="009C5B5E"/>
    <w:rsid w:val="009C5BB2"/>
    <w:rsid w:val="009D0215"/>
    <w:rsid w:val="009E4DC1"/>
    <w:rsid w:val="00A23B6C"/>
    <w:rsid w:val="00A32C79"/>
    <w:rsid w:val="00A33BA8"/>
    <w:rsid w:val="00A40C85"/>
    <w:rsid w:val="00A46750"/>
    <w:rsid w:val="00A47A5F"/>
    <w:rsid w:val="00A50DE4"/>
    <w:rsid w:val="00A50E98"/>
    <w:rsid w:val="00A530A4"/>
    <w:rsid w:val="00A547DE"/>
    <w:rsid w:val="00A55EE3"/>
    <w:rsid w:val="00A62D09"/>
    <w:rsid w:val="00A64FB8"/>
    <w:rsid w:val="00A6790F"/>
    <w:rsid w:val="00A67952"/>
    <w:rsid w:val="00A74405"/>
    <w:rsid w:val="00A74EC2"/>
    <w:rsid w:val="00A75228"/>
    <w:rsid w:val="00A81D97"/>
    <w:rsid w:val="00A8364D"/>
    <w:rsid w:val="00A84A81"/>
    <w:rsid w:val="00A94FB6"/>
    <w:rsid w:val="00AA360B"/>
    <w:rsid w:val="00AA3EBB"/>
    <w:rsid w:val="00AA7087"/>
    <w:rsid w:val="00AB26E3"/>
    <w:rsid w:val="00AB32E6"/>
    <w:rsid w:val="00AB4655"/>
    <w:rsid w:val="00AC221A"/>
    <w:rsid w:val="00AC710D"/>
    <w:rsid w:val="00AE614F"/>
    <w:rsid w:val="00AF05EA"/>
    <w:rsid w:val="00B02C74"/>
    <w:rsid w:val="00B15E09"/>
    <w:rsid w:val="00B30755"/>
    <w:rsid w:val="00B31DE3"/>
    <w:rsid w:val="00B33B38"/>
    <w:rsid w:val="00B3684C"/>
    <w:rsid w:val="00B368EE"/>
    <w:rsid w:val="00B42267"/>
    <w:rsid w:val="00B45A07"/>
    <w:rsid w:val="00B46ABF"/>
    <w:rsid w:val="00B46EBD"/>
    <w:rsid w:val="00B50880"/>
    <w:rsid w:val="00B531E5"/>
    <w:rsid w:val="00B64938"/>
    <w:rsid w:val="00B702EC"/>
    <w:rsid w:val="00B74F1E"/>
    <w:rsid w:val="00B75508"/>
    <w:rsid w:val="00B81125"/>
    <w:rsid w:val="00B87E9A"/>
    <w:rsid w:val="00B93E50"/>
    <w:rsid w:val="00BB23F2"/>
    <w:rsid w:val="00BC13AF"/>
    <w:rsid w:val="00BC1DCE"/>
    <w:rsid w:val="00BC56A7"/>
    <w:rsid w:val="00BC75E1"/>
    <w:rsid w:val="00BD0379"/>
    <w:rsid w:val="00BD2D8D"/>
    <w:rsid w:val="00BD72B1"/>
    <w:rsid w:val="00BD7DB9"/>
    <w:rsid w:val="00BE1BF9"/>
    <w:rsid w:val="00BE53A0"/>
    <w:rsid w:val="00BE70A7"/>
    <w:rsid w:val="00BF3D09"/>
    <w:rsid w:val="00C00449"/>
    <w:rsid w:val="00C04D57"/>
    <w:rsid w:val="00C10913"/>
    <w:rsid w:val="00C10A0B"/>
    <w:rsid w:val="00C22C1A"/>
    <w:rsid w:val="00C23493"/>
    <w:rsid w:val="00C257F6"/>
    <w:rsid w:val="00C26483"/>
    <w:rsid w:val="00C37359"/>
    <w:rsid w:val="00C40454"/>
    <w:rsid w:val="00C46E76"/>
    <w:rsid w:val="00C51639"/>
    <w:rsid w:val="00C53F2E"/>
    <w:rsid w:val="00C55886"/>
    <w:rsid w:val="00C6025C"/>
    <w:rsid w:val="00C66042"/>
    <w:rsid w:val="00C749F6"/>
    <w:rsid w:val="00C81F03"/>
    <w:rsid w:val="00C86674"/>
    <w:rsid w:val="00C90167"/>
    <w:rsid w:val="00C91C26"/>
    <w:rsid w:val="00C92275"/>
    <w:rsid w:val="00C92F55"/>
    <w:rsid w:val="00C936D0"/>
    <w:rsid w:val="00CA27E6"/>
    <w:rsid w:val="00CA7AF9"/>
    <w:rsid w:val="00CB05E8"/>
    <w:rsid w:val="00CB0B9C"/>
    <w:rsid w:val="00CB1277"/>
    <w:rsid w:val="00CB1B98"/>
    <w:rsid w:val="00CC0E31"/>
    <w:rsid w:val="00CC15DC"/>
    <w:rsid w:val="00CE7805"/>
    <w:rsid w:val="00CF1733"/>
    <w:rsid w:val="00D1154F"/>
    <w:rsid w:val="00D1321A"/>
    <w:rsid w:val="00D20FEB"/>
    <w:rsid w:val="00D21E7B"/>
    <w:rsid w:val="00D259CC"/>
    <w:rsid w:val="00D25CE4"/>
    <w:rsid w:val="00D34413"/>
    <w:rsid w:val="00D353F4"/>
    <w:rsid w:val="00D4756F"/>
    <w:rsid w:val="00D50C5C"/>
    <w:rsid w:val="00D50D46"/>
    <w:rsid w:val="00D51180"/>
    <w:rsid w:val="00D5396B"/>
    <w:rsid w:val="00D72A99"/>
    <w:rsid w:val="00D92D33"/>
    <w:rsid w:val="00D97CDA"/>
    <w:rsid w:val="00DA0A51"/>
    <w:rsid w:val="00DA15E9"/>
    <w:rsid w:val="00DA5428"/>
    <w:rsid w:val="00DB029B"/>
    <w:rsid w:val="00DB06B7"/>
    <w:rsid w:val="00DB22C5"/>
    <w:rsid w:val="00DB73BD"/>
    <w:rsid w:val="00DC249F"/>
    <w:rsid w:val="00DC47EA"/>
    <w:rsid w:val="00DC71E8"/>
    <w:rsid w:val="00DD7488"/>
    <w:rsid w:val="00DF1051"/>
    <w:rsid w:val="00E14A18"/>
    <w:rsid w:val="00E14D03"/>
    <w:rsid w:val="00E20F99"/>
    <w:rsid w:val="00E21EB1"/>
    <w:rsid w:val="00E23F05"/>
    <w:rsid w:val="00E258D5"/>
    <w:rsid w:val="00E277D6"/>
    <w:rsid w:val="00E43A0D"/>
    <w:rsid w:val="00E4460A"/>
    <w:rsid w:val="00E44B45"/>
    <w:rsid w:val="00E46C5A"/>
    <w:rsid w:val="00E50253"/>
    <w:rsid w:val="00E61F50"/>
    <w:rsid w:val="00E62EC2"/>
    <w:rsid w:val="00E65A6E"/>
    <w:rsid w:val="00E67D8E"/>
    <w:rsid w:val="00E73DB0"/>
    <w:rsid w:val="00E8365F"/>
    <w:rsid w:val="00E86792"/>
    <w:rsid w:val="00E95351"/>
    <w:rsid w:val="00EA310A"/>
    <w:rsid w:val="00EA5D94"/>
    <w:rsid w:val="00EB4BAB"/>
    <w:rsid w:val="00ED2647"/>
    <w:rsid w:val="00ED6ED5"/>
    <w:rsid w:val="00ED7A80"/>
    <w:rsid w:val="00EE46DD"/>
    <w:rsid w:val="00EF0354"/>
    <w:rsid w:val="00EF3B75"/>
    <w:rsid w:val="00F01A49"/>
    <w:rsid w:val="00F03421"/>
    <w:rsid w:val="00F117C9"/>
    <w:rsid w:val="00F246A6"/>
    <w:rsid w:val="00F4154F"/>
    <w:rsid w:val="00F41684"/>
    <w:rsid w:val="00F612A8"/>
    <w:rsid w:val="00F64295"/>
    <w:rsid w:val="00F77CB8"/>
    <w:rsid w:val="00F8294B"/>
    <w:rsid w:val="00F850F2"/>
    <w:rsid w:val="00F85DA1"/>
    <w:rsid w:val="00F878BB"/>
    <w:rsid w:val="00F9280C"/>
    <w:rsid w:val="00F93142"/>
    <w:rsid w:val="00F97BE4"/>
    <w:rsid w:val="00FA7ACC"/>
    <w:rsid w:val="00FC4CDC"/>
    <w:rsid w:val="00FD026E"/>
    <w:rsid w:val="00FE1E56"/>
    <w:rsid w:val="00FE543C"/>
    <w:rsid w:val="00FF0616"/>
    <w:rsid w:val="00FF19B2"/>
    <w:rsid w:val="00FF4706"/>
    <w:rsid w:val="01195115"/>
    <w:rsid w:val="0138470C"/>
    <w:rsid w:val="013F25C7"/>
    <w:rsid w:val="0153640C"/>
    <w:rsid w:val="01636B35"/>
    <w:rsid w:val="0167474D"/>
    <w:rsid w:val="016C60B5"/>
    <w:rsid w:val="016E0602"/>
    <w:rsid w:val="01887F2B"/>
    <w:rsid w:val="01965A4B"/>
    <w:rsid w:val="01B6078E"/>
    <w:rsid w:val="01E150A5"/>
    <w:rsid w:val="01E82B1B"/>
    <w:rsid w:val="02001F2E"/>
    <w:rsid w:val="020255DA"/>
    <w:rsid w:val="02092538"/>
    <w:rsid w:val="02197333"/>
    <w:rsid w:val="02266E22"/>
    <w:rsid w:val="022C3496"/>
    <w:rsid w:val="02304E24"/>
    <w:rsid w:val="023A44CB"/>
    <w:rsid w:val="0258175D"/>
    <w:rsid w:val="025F0F6B"/>
    <w:rsid w:val="027013C9"/>
    <w:rsid w:val="02970F58"/>
    <w:rsid w:val="029757CA"/>
    <w:rsid w:val="02AA3107"/>
    <w:rsid w:val="02AA7150"/>
    <w:rsid w:val="02AB46C0"/>
    <w:rsid w:val="03130C9A"/>
    <w:rsid w:val="03151C1F"/>
    <w:rsid w:val="03254969"/>
    <w:rsid w:val="03292E3E"/>
    <w:rsid w:val="03723CB1"/>
    <w:rsid w:val="037F7134"/>
    <w:rsid w:val="03A96C0F"/>
    <w:rsid w:val="03B643E4"/>
    <w:rsid w:val="03BF5648"/>
    <w:rsid w:val="03D43A71"/>
    <w:rsid w:val="03DB4D3A"/>
    <w:rsid w:val="03E13BC2"/>
    <w:rsid w:val="03F4443A"/>
    <w:rsid w:val="0409621A"/>
    <w:rsid w:val="0430275A"/>
    <w:rsid w:val="04497FAD"/>
    <w:rsid w:val="046E329A"/>
    <w:rsid w:val="047622E3"/>
    <w:rsid w:val="048737A2"/>
    <w:rsid w:val="048E537A"/>
    <w:rsid w:val="04D20C76"/>
    <w:rsid w:val="04D32E79"/>
    <w:rsid w:val="04E0790E"/>
    <w:rsid w:val="04EC3902"/>
    <w:rsid w:val="04F57F32"/>
    <w:rsid w:val="054C72C4"/>
    <w:rsid w:val="0551189D"/>
    <w:rsid w:val="0553706D"/>
    <w:rsid w:val="0579132F"/>
    <w:rsid w:val="057E6334"/>
    <w:rsid w:val="058818B9"/>
    <w:rsid w:val="05AA3F4E"/>
    <w:rsid w:val="05E10B7E"/>
    <w:rsid w:val="05F101D8"/>
    <w:rsid w:val="06035A90"/>
    <w:rsid w:val="061202AD"/>
    <w:rsid w:val="06397ADB"/>
    <w:rsid w:val="063C25D5"/>
    <w:rsid w:val="063D3552"/>
    <w:rsid w:val="064424C6"/>
    <w:rsid w:val="06443B41"/>
    <w:rsid w:val="064B0465"/>
    <w:rsid w:val="06600355"/>
    <w:rsid w:val="068B1A94"/>
    <w:rsid w:val="06CB5047"/>
    <w:rsid w:val="070B54D5"/>
    <w:rsid w:val="070C57E9"/>
    <w:rsid w:val="07131E10"/>
    <w:rsid w:val="07574F35"/>
    <w:rsid w:val="079C5332"/>
    <w:rsid w:val="07A94D38"/>
    <w:rsid w:val="07CE37FD"/>
    <w:rsid w:val="07DC5147"/>
    <w:rsid w:val="07DC6428"/>
    <w:rsid w:val="07EA21B7"/>
    <w:rsid w:val="07EC16B1"/>
    <w:rsid w:val="0811109E"/>
    <w:rsid w:val="081C209F"/>
    <w:rsid w:val="08284F9E"/>
    <w:rsid w:val="082E0815"/>
    <w:rsid w:val="08350B36"/>
    <w:rsid w:val="084C2FF4"/>
    <w:rsid w:val="086E2B49"/>
    <w:rsid w:val="088737C6"/>
    <w:rsid w:val="08AB0D80"/>
    <w:rsid w:val="08B300C0"/>
    <w:rsid w:val="08B57A7A"/>
    <w:rsid w:val="08C133E1"/>
    <w:rsid w:val="08F51640"/>
    <w:rsid w:val="08FC358E"/>
    <w:rsid w:val="090A5A61"/>
    <w:rsid w:val="091C798B"/>
    <w:rsid w:val="091F552B"/>
    <w:rsid w:val="092D692D"/>
    <w:rsid w:val="094A3E61"/>
    <w:rsid w:val="095D7A6A"/>
    <w:rsid w:val="09644B78"/>
    <w:rsid w:val="097919A5"/>
    <w:rsid w:val="098F3125"/>
    <w:rsid w:val="09A6393A"/>
    <w:rsid w:val="09C554D0"/>
    <w:rsid w:val="09DA419B"/>
    <w:rsid w:val="0A044F77"/>
    <w:rsid w:val="0A161861"/>
    <w:rsid w:val="0A357F48"/>
    <w:rsid w:val="0A3C148B"/>
    <w:rsid w:val="0A3F4994"/>
    <w:rsid w:val="0A4235A0"/>
    <w:rsid w:val="0A4D0425"/>
    <w:rsid w:val="0A6C76CF"/>
    <w:rsid w:val="0A7413A1"/>
    <w:rsid w:val="0AB5742B"/>
    <w:rsid w:val="0ADA7CC8"/>
    <w:rsid w:val="0B0635C2"/>
    <w:rsid w:val="0B0F3744"/>
    <w:rsid w:val="0B162099"/>
    <w:rsid w:val="0B2540B5"/>
    <w:rsid w:val="0B2D454B"/>
    <w:rsid w:val="0B3E1C82"/>
    <w:rsid w:val="0B594914"/>
    <w:rsid w:val="0B702E2E"/>
    <w:rsid w:val="0B740B04"/>
    <w:rsid w:val="0B756FF7"/>
    <w:rsid w:val="0B7C4D45"/>
    <w:rsid w:val="0B8E2F00"/>
    <w:rsid w:val="0B930144"/>
    <w:rsid w:val="0B9760C4"/>
    <w:rsid w:val="0BC105A1"/>
    <w:rsid w:val="0BE942DD"/>
    <w:rsid w:val="0BEF65FB"/>
    <w:rsid w:val="0BFF30A6"/>
    <w:rsid w:val="0C00071F"/>
    <w:rsid w:val="0C165631"/>
    <w:rsid w:val="0C235532"/>
    <w:rsid w:val="0C476233"/>
    <w:rsid w:val="0C680111"/>
    <w:rsid w:val="0C6D5843"/>
    <w:rsid w:val="0C965FB3"/>
    <w:rsid w:val="0CA87258"/>
    <w:rsid w:val="0CC575DD"/>
    <w:rsid w:val="0CC66664"/>
    <w:rsid w:val="0CF523C9"/>
    <w:rsid w:val="0D1D6F1E"/>
    <w:rsid w:val="0D5E59FB"/>
    <w:rsid w:val="0D64310B"/>
    <w:rsid w:val="0D744332"/>
    <w:rsid w:val="0DB255BA"/>
    <w:rsid w:val="0DBA1CEC"/>
    <w:rsid w:val="0DDB4AEA"/>
    <w:rsid w:val="0DE83D8F"/>
    <w:rsid w:val="0DEA6565"/>
    <w:rsid w:val="0DEC7EB9"/>
    <w:rsid w:val="0E1A5024"/>
    <w:rsid w:val="0E1D10FC"/>
    <w:rsid w:val="0E39519D"/>
    <w:rsid w:val="0E3C7F3B"/>
    <w:rsid w:val="0E3F4FB1"/>
    <w:rsid w:val="0E5B5840"/>
    <w:rsid w:val="0E7F57FF"/>
    <w:rsid w:val="0E862C5A"/>
    <w:rsid w:val="0E8F7926"/>
    <w:rsid w:val="0ECB744A"/>
    <w:rsid w:val="0ECD1719"/>
    <w:rsid w:val="0EFC6E80"/>
    <w:rsid w:val="0F010373"/>
    <w:rsid w:val="0F192CEB"/>
    <w:rsid w:val="0F3C1170"/>
    <w:rsid w:val="0F431F0F"/>
    <w:rsid w:val="0F536919"/>
    <w:rsid w:val="0F7C6998"/>
    <w:rsid w:val="0F7F040B"/>
    <w:rsid w:val="0F905BE5"/>
    <w:rsid w:val="0F9C0B4F"/>
    <w:rsid w:val="0FA539F4"/>
    <w:rsid w:val="0FA554AB"/>
    <w:rsid w:val="0FAC5A64"/>
    <w:rsid w:val="0FBF7D2B"/>
    <w:rsid w:val="0FD4506C"/>
    <w:rsid w:val="0FDB0F3A"/>
    <w:rsid w:val="10164FDE"/>
    <w:rsid w:val="103F7225"/>
    <w:rsid w:val="10544610"/>
    <w:rsid w:val="106B30AF"/>
    <w:rsid w:val="106B67F2"/>
    <w:rsid w:val="109F7C14"/>
    <w:rsid w:val="10AA22A1"/>
    <w:rsid w:val="10B0706C"/>
    <w:rsid w:val="10B5136F"/>
    <w:rsid w:val="10C04D2E"/>
    <w:rsid w:val="10C45267"/>
    <w:rsid w:val="10DA6BCE"/>
    <w:rsid w:val="10E31E45"/>
    <w:rsid w:val="10F01204"/>
    <w:rsid w:val="11231798"/>
    <w:rsid w:val="114F162F"/>
    <w:rsid w:val="11534C84"/>
    <w:rsid w:val="115D6290"/>
    <w:rsid w:val="116F1B95"/>
    <w:rsid w:val="116F6DEB"/>
    <w:rsid w:val="117400AF"/>
    <w:rsid w:val="118A5E6B"/>
    <w:rsid w:val="11964527"/>
    <w:rsid w:val="119918E6"/>
    <w:rsid w:val="11B6082D"/>
    <w:rsid w:val="11BD7527"/>
    <w:rsid w:val="11D61063"/>
    <w:rsid w:val="11E4357A"/>
    <w:rsid w:val="11E90876"/>
    <w:rsid w:val="11FE287C"/>
    <w:rsid w:val="120B18A7"/>
    <w:rsid w:val="121D44ED"/>
    <w:rsid w:val="122B62BE"/>
    <w:rsid w:val="12486960"/>
    <w:rsid w:val="12522860"/>
    <w:rsid w:val="125664A3"/>
    <w:rsid w:val="127D1619"/>
    <w:rsid w:val="12862017"/>
    <w:rsid w:val="128C0A28"/>
    <w:rsid w:val="12966A04"/>
    <w:rsid w:val="12A2531F"/>
    <w:rsid w:val="12C26605"/>
    <w:rsid w:val="12D25FA9"/>
    <w:rsid w:val="13072BE3"/>
    <w:rsid w:val="132D5F44"/>
    <w:rsid w:val="133E5BB7"/>
    <w:rsid w:val="135D1254"/>
    <w:rsid w:val="137D1AC1"/>
    <w:rsid w:val="138F5528"/>
    <w:rsid w:val="13922B90"/>
    <w:rsid w:val="13B1357D"/>
    <w:rsid w:val="13D80B9E"/>
    <w:rsid w:val="13DA3215"/>
    <w:rsid w:val="13DC59C3"/>
    <w:rsid w:val="13DF4D1E"/>
    <w:rsid w:val="13E12D59"/>
    <w:rsid w:val="141D3750"/>
    <w:rsid w:val="142C592D"/>
    <w:rsid w:val="14403D48"/>
    <w:rsid w:val="14670E78"/>
    <w:rsid w:val="14776666"/>
    <w:rsid w:val="14796DAF"/>
    <w:rsid w:val="147B7088"/>
    <w:rsid w:val="14BE5168"/>
    <w:rsid w:val="14D961C2"/>
    <w:rsid w:val="14E55919"/>
    <w:rsid w:val="14E634E0"/>
    <w:rsid w:val="1504629A"/>
    <w:rsid w:val="15251B25"/>
    <w:rsid w:val="1542019D"/>
    <w:rsid w:val="1558064A"/>
    <w:rsid w:val="159A2C83"/>
    <w:rsid w:val="159D40B4"/>
    <w:rsid w:val="15C14F1A"/>
    <w:rsid w:val="15CB4C40"/>
    <w:rsid w:val="15CD0C72"/>
    <w:rsid w:val="15DA768A"/>
    <w:rsid w:val="15EC2E5B"/>
    <w:rsid w:val="16072C0F"/>
    <w:rsid w:val="16226A14"/>
    <w:rsid w:val="16263E2D"/>
    <w:rsid w:val="16334C35"/>
    <w:rsid w:val="16342B3F"/>
    <w:rsid w:val="164A4BE5"/>
    <w:rsid w:val="166879F2"/>
    <w:rsid w:val="16693B8D"/>
    <w:rsid w:val="16887D6F"/>
    <w:rsid w:val="168E2878"/>
    <w:rsid w:val="169A64BF"/>
    <w:rsid w:val="16D47282"/>
    <w:rsid w:val="16E70B11"/>
    <w:rsid w:val="17435337"/>
    <w:rsid w:val="17613CB4"/>
    <w:rsid w:val="178612A4"/>
    <w:rsid w:val="178C2AB6"/>
    <w:rsid w:val="17A45EC9"/>
    <w:rsid w:val="17B225CD"/>
    <w:rsid w:val="17B23101"/>
    <w:rsid w:val="17CA2A91"/>
    <w:rsid w:val="17E651DB"/>
    <w:rsid w:val="18370860"/>
    <w:rsid w:val="184E381D"/>
    <w:rsid w:val="186516C5"/>
    <w:rsid w:val="186B5F65"/>
    <w:rsid w:val="186D2A69"/>
    <w:rsid w:val="187D137A"/>
    <w:rsid w:val="18937F04"/>
    <w:rsid w:val="189C231E"/>
    <w:rsid w:val="18A31EE7"/>
    <w:rsid w:val="18B83CD4"/>
    <w:rsid w:val="18CC2219"/>
    <w:rsid w:val="18F6074A"/>
    <w:rsid w:val="18FF0F19"/>
    <w:rsid w:val="19075544"/>
    <w:rsid w:val="190C0572"/>
    <w:rsid w:val="195456E0"/>
    <w:rsid w:val="196B30A0"/>
    <w:rsid w:val="197D13A1"/>
    <w:rsid w:val="19950D78"/>
    <w:rsid w:val="19BA6E5F"/>
    <w:rsid w:val="19BD5FB9"/>
    <w:rsid w:val="19C427F0"/>
    <w:rsid w:val="19D4580A"/>
    <w:rsid w:val="19ED09AA"/>
    <w:rsid w:val="19FF0EEC"/>
    <w:rsid w:val="1A046ABA"/>
    <w:rsid w:val="1A1E584A"/>
    <w:rsid w:val="1A28594B"/>
    <w:rsid w:val="1A296B24"/>
    <w:rsid w:val="1A772262"/>
    <w:rsid w:val="1A7B1B11"/>
    <w:rsid w:val="1AA401B8"/>
    <w:rsid w:val="1ACA1B7F"/>
    <w:rsid w:val="1AF73D90"/>
    <w:rsid w:val="1AFB5096"/>
    <w:rsid w:val="1B11713D"/>
    <w:rsid w:val="1B17308F"/>
    <w:rsid w:val="1B343987"/>
    <w:rsid w:val="1B6A4E47"/>
    <w:rsid w:val="1B7A15EF"/>
    <w:rsid w:val="1B7F21B4"/>
    <w:rsid w:val="1B87156F"/>
    <w:rsid w:val="1BAB1D35"/>
    <w:rsid w:val="1BAF7941"/>
    <w:rsid w:val="1BBB37FD"/>
    <w:rsid w:val="1BD14C5E"/>
    <w:rsid w:val="1BDD658A"/>
    <w:rsid w:val="1BE00529"/>
    <w:rsid w:val="1BE2143A"/>
    <w:rsid w:val="1BF0122B"/>
    <w:rsid w:val="1C360224"/>
    <w:rsid w:val="1C4A0C85"/>
    <w:rsid w:val="1C644D63"/>
    <w:rsid w:val="1CA76536"/>
    <w:rsid w:val="1CAD18BE"/>
    <w:rsid w:val="1CB07866"/>
    <w:rsid w:val="1CC3562D"/>
    <w:rsid w:val="1CC85D58"/>
    <w:rsid w:val="1CDA2F65"/>
    <w:rsid w:val="1CE60643"/>
    <w:rsid w:val="1CF27B0C"/>
    <w:rsid w:val="1D022EE7"/>
    <w:rsid w:val="1D261D85"/>
    <w:rsid w:val="1D262EE7"/>
    <w:rsid w:val="1D291E03"/>
    <w:rsid w:val="1D2E5610"/>
    <w:rsid w:val="1D307617"/>
    <w:rsid w:val="1D335ADC"/>
    <w:rsid w:val="1D4C74D5"/>
    <w:rsid w:val="1D5466EF"/>
    <w:rsid w:val="1D8D17AC"/>
    <w:rsid w:val="1D9F7D74"/>
    <w:rsid w:val="1DAB2FFA"/>
    <w:rsid w:val="1DAD0464"/>
    <w:rsid w:val="1DBE0F23"/>
    <w:rsid w:val="1DC314ED"/>
    <w:rsid w:val="1DCF32D8"/>
    <w:rsid w:val="1DD44802"/>
    <w:rsid w:val="1DEA2EF7"/>
    <w:rsid w:val="1DED3227"/>
    <w:rsid w:val="1E170FFC"/>
    <w:rsid w:val="1E253F37"/>
    <w:rsid w:val="1E291E69"/>
    <w:rsid w:val="1E387138"/>
    <w:rsid w:val="1E424C3B"/>
    <w:rsid w:val="1E460C58"/>
    <w:rsid w:val="1E58467D"/>
    <w:rsid w:val="1E5E7ECB"/>
    <w:rsid w:val="1E703ABD"/>
    <w:rsid w:val="1E781C68"/>
    <w:rsid w:val="1E88042F"/>
    <w:rsid w:val="1E9C2A8F"/>
    <w:rsid w:val="1E9E4FC6"/>
    <w:rsid w:val="1EA232D7"/>
    <w:rsid w:val="1EE04CB7"/>
    <w:rsid w:val="1EEA2BD6"/>
    <w:rsid w:val="1EFA6D3C"/>
    <w:rsid w:val="1EFF4DFE"/>
    <w:rsid w:val="1F020DAC"/>
    <w:rsid w:val="1F197A4B"/>
    <w:rsid w:val="1F2D14E7"/>
    <w:rsid w:val="1F2D59DC"/>
    <w:rsid w:val="1F304505"/>
    <w:rsid w:val="1F307C62"/>
    <w:rsid w:val="1F433155"/>
    <w:rsid w:val="1F684C3C"/>
    <w:rsid w:val="1F694156"/>
    <w:rsid w:val="1F6E3E1F"/>
    <w:rsid w:val="1F7929AE"/>
    <w:rsid w:val="1F842450"/>
    <w:rsid w:val="1F8A098B"/>
    <w:rsid w:val="1FBB2F09"/>
    <w:rsid w:val="1FC12553"/>
    <w:rsid w:val="1FD4298F"/>
    <w:rsid w:val="1FFC4498"/>
    <w:rsid w:val="201138F2"/>
    <w:rsid w:val="20152456"/>
    <w:rsid w:val="20176742"/>
    <w:rsid w:val="201D4051"/>
    <w:rsid w:val="20255F24"/>
    <w:rsid w:val="20454680"/>
    <w:rsid w:val="206936FD"/>
    <w:rsid w:val="206B3C66"/>
    <w:rsid w:val="208C6FF3"/>
    <w:rsid w:val="208E0A7A"/>
    <w:rsid w:val="20A24733"/>
    <w:rsid w:val="20A3526B"/>
    <w:rsid w:val="20C650C9"/>
    <w:rsid w:val="20D01CB2"/>
    <w:rsid w:val="20D23DFC"/>
    <w:rsid w:val="20D9465A"/>
    <w:rsid w:val="20F0371E"/>
    <w:rsid w:val="20F21939"/>
    <w:rsid w:val="21054C70"/>
    <w:rsid w:val="21194658"/>
    <w:rsid w:val="21477613"/>
    <w:rsid w:val="214A1B76"/>
    <w:rsid w:val="215D0590"/>
    <w:rsid w:val="215E451D"/>
    <w:rsid w:val="2187004C"/>
    <w:rsid w:val="21A02767"/>
    <w:rsid w:val="21A71548"/>
    <w:rsid w:val="21CE2BD9"/>
    <w:rsid w:val="21DD731A"/>
    <w:rsid w:val="220A77E8"/>
    <w:rsid w:val="22154920"/>
    <w:rsid w:val="22295B1A"/>
    <w:rsid w:val="222D2C40"/>
    <w:rsid w:val="22354D72"/>
    <w:rsid w:val="22370151"/>
    <w:rsid w:val="22517ACF"/>
    <w:rsid w:val="225D585D"/>
    <w:rsid w:val="22650AF6"/>
    <w:rsid w:val="22F00FBF"/>
    <w:rsid w:val="230378D3"/>
    <w:rsid w:val="231703A5"/>
    <w:rsid w:val="23227BE7"/>
    <w:rsid w:val="232D08B9"/>
    <w:rsid w:val="233F30E4"/>
    <w:rsid w:val="23515CD3"/>
    <w:rsid w:val="235F437F"/>
    <w:rsid w:val="236A192E"/>
    <w:rsid w:val="23BC0AC6"/>
    <w:rsid w:val="23BE6ACB"/>
    <w:rsid w:val="23F12957"/>
    <w:rsid w:val="243E1982"/>
    <w:rsid w:val="2459006F"/>
    <w:rsid w:val="24656F5B"/>
    <w:rsid w:val="247300D6"/>
    <w:rsid w:val="247C59B7"/>
    <w:rsid w:val="247F2F33"/>
    <w:rsid w:val="24830913"/>
    <w:rsid w:val="249157D4"/>
    <w:rsid w:val="24936AC4"/>
    <w:rsid w:val="24956C90"/>
    <w:rsid w:val="24985EE0"/>
    <w:rsid w:val="24BD304E"/>
    <w:rsid w:val="24C209A7"/>
    <w:rsid w:val="24C945B1"/>
    <w:rsid w:val="24CF2892"/>
    <w:rsid w:val="24E454AF"/>
    <w:rsid w:val="24E4707F"/>
    <w:rsid w:val="25001747"/>
    <w:rsid w:val="25131EE2"/>
    <w:rsid w:val="251552B5"/>
    <w:rsid w:val="251B525F"/>
    <w:rsid w:val="253027D3"/>
    <w:rsid w:val="253F3E39"/>
    <w:rsid w:val="25780405"/>
    <w:rsid w:val="258A19A4"/>
    <w:rsid w:val="258C0F3A"/>
    <w:rsid w:val="25CE780C"/>
    <w:rsid w:val="25DA0611"/>
    <w:rsid w:val="25E77926"/>
    <w:rsid w:val="25E87FC5"/>
    <w:rsid w:val="25F429FF"/>
    <w:rsid w:val="25FB6FBB"/>
    <w:rsid w:val="25FD102F"/>
    <w:rsid w:val="26105E59"/>
    <w:rsid w:val="262504D5"/>
    <w:rsid w:val="262D5AE2"/>
    <w:rsid w:val="263018E1"/>
    <w:rsid w:val="264505C9"/>
    <w:rsid w:val="264F27C7"/>
    <w:rsid w:val="26565955"/>
    <w:rsid w:val="265F1366"/>
    <w:rsid w:val="266A5D36"/>
    <w:rsid w:val="26733689"/>
    <w:rsid w:val="267465E4"/>
    <w:rsid w:val="268C06AA"/>
    <w:rsid w:val="268D310C"/>
    <w:rsid w:val="269152E5"/>
    <w:rsid w:val="26B1284F"/>
    <w:rsid w:val="26C32603"/>
    <w:rsid w:val="26E17320"/>
    <w:rsid w:val="26E30CE5"/>
    <w:rsid w:val="26EC6868"/>
    <w:rsid w:val="26ED5784"/>
    <w:rsid w:val="26FD745E"/>
    <w:rsid w:val="270E7B47"/>
    <w:rsid w:val="27302F11"/>
    <w:rsid w:val="2757246A"/>
    <w:rsid w:val="275C6F53"/>
    <w:rsid w:val="27602ECA"/>
    <w:rsid w:val="276D47AB"/>
    <w:rsid w:val="276E3252"/>
    <w:rsid w:val="278D6548"/>
    <w:rsid w:val="279C5F0C"/>
    <w:rsid w:val="27A21B17"/>
    <w:rsid w:val="27A92CE9"/>
    <w:rsid w:val="27B078D8"/>
    <w:rsid w:val="27BB09BF"/>
    <w:rsid w:val="27E0373F"/>
    <w:rsid w:val="27EA42EF"/>
    <w:rsid w:val="27F415C9"/>
    <w:rsid w:val="2806316A"/>
    <w:rsid w:val="283065FE"/>
    <w:rsid w:val="28443519"/>
    <w:rsid w:val="28506864"/>
    <w:rsid w:val="287154F8"/>
    <w:rsid w:val="28857E66"/>
    <w:rsid w:val="28991B90"/>
    <w:rsid w:val="28B9039F"/>
    <w:rsid w:val="28CF22DD"/>
    <w:rsid w:val="28D03DC8"/>
    <w:rsid w:val="28D263B5"/>
    <w:rsid w:val="28EB1F4A"/>
    <w:rsid w:val="29265141"/>
    <w:rsid w:val="294013D5"/>
    <w:rsid w:val="29483952"/>
    <w:rsid w:val="29613368"/>
    <w:rsid w:val="297D6E4B"/>
    <w:rsid w:val="29921C4F"/>
    <w:rsid w:val="29976D14"/>
    <w:rsid w:val="29A62FCF"/>
    <w:rsid w:val="29B7635B"/>
    <w:rsid w:val="29CA0CF1"/>
    <w:rsid w:val="29F0732E"/>
    <w:rsid w:val="29F1695C"/>
    <w:rsid w:val="2A177709"/>
    <w:rsid w:val="2A2226EB"/>
    <w:rsid w:val="2A5336D9"/>
    <w:rsid w:val="2A654F26"/>
    <w:rsid w:val="2A6A7F53"/>
    <w:rsid w:val="2A700EAD"/>
    <w:rsid w:val="2A8022CD"/>
    <w:rsid w:val="2A831EC6"/>
    <w:rsid w:val="2A8D3298"/>
    <w:rsid w:val="2A9A42BF"/>
    <w:rsid w:val="2ACC4C23"/>
    <w:rsid w:val="2AE46C6D"/>
    <w:rsid w:val="2AE6186C"/>
    <w:rsid w:val="2AF33D13"/>
    <w:rsid w:val="2AFB3121"/>
    <w:rsid w:val="2B187A42"/>
    <w:rsid w:val="2B2B09EA"/>
    <w:rsid w:val="2B3F74FC"/>
    <w:rsid w:val="2B5661DE"/>
    <w:rsid w:val="2B64197D"/>
    <w:rsid w:val="2B9C5678"/>
    <w:rsid w:val="2BA116B3"/>
    <w:rsid w:val="2BB91157"/>
    <w:rsid w:val="2C00108E"/>
    <w:rsid w:val="2C200325"/>
    <w:rsid w:val="2C2657FB"/>
    <w:rsid w:val="2CAA7C89"/>
    <w:rsid w:val="2CAF46E7"/>
    <w:rsid w:val="2CC40E14"/>
    <w:rsid w:val="2CDE41BC"/>
    <w:rsid w:val="2CFD7918"/>
    <w:rsid w:val="2D194F16"/>
    <w:rsid w:val="2D200C02"/>
    <w:rsid w:val="2D220828"/>
    <w:rsid w:val="2D29102E"/>
    <w:rsid w:val="2D4906D5"/>
    <w:rsid w:val="2D4C3F21"/>
    <w:rsid w:val="2D566915"/>
    <w:rsid w:val="2D724D1D"/>
    <w:rsid w:val="2D730E7A"/>
    <w:rsid w:val="2D99206E"/>
    <w:rsid w:val="2D9E6C52"/>
    <w:rsid w:val="2DA214B5"/>
    <w:rsid w:val="2DBE3A21"/>
    <w:rsid w:val="2DC105D7"/>
    <w:rsid w:val="2DD24E3D"/>
    <w:rsid w:val="2DD558A5"/>
    <w:rsid w:val="2DDB6917"/>
    <w:rsid w:val="2DF40666"/>
    <w:rsid w:val="2DFC784B"/>
    <w:rsid w:val="2E1A1846"/>
    <w:rsid w:val="2E2C2801"/>
    <w:rsid w:val="2E462B80"/>
    <w:rsid w:val="2E612427"/>
    <w:rsid w:val="2E6672F1"/>
    <w:rsid w:val="2E953B7B"/>
    <w:rsid w:val="2EB340C3"/>
    <w:rsid w:val="2EB8312E"/>
    <w:rsid w:val="2EBE5975"/>
    <w:rsid w:val="2EE36365"/>
    <w:rsid w:val="2F0631DD"/>
    <w:rsid w:val="2F141A52"/>
    <w:rsid w:val="2F2A0A48"/>
    <w:rsid w:val="2F32147B"/>
    <w:rsid w:val="2F3F7C72"/>
    <w:rsid w:val="2F416018"/>
    <w:rsid w:val="2F4B0931"/>
    <w:rsid w:val="2F5561D1"/>
    <w:rsid w:val="2F656F7A"/>
    <w:rsid w:val="2F7271DA"/>
    <w:rsid w:val="2F742080"/>
    <w:rsid w:val="2F754040"/>
    <w:rsid w:val="2F75787F"/>
    <w:rsid w:val="2F786609"/>
    <w:rsid w:val="2F816A87"/>
    <w:rsid w:val="2F9821B7"/>
    <w:rsid w:val="2FC20B21"/>
    <w:rsid w:val="2FC815B1"/>
    <w:rsid w:val="2FF3366F"/>
    <w:rsid w:val="30075BD3"/>
    <w:rsid w:val="30347DA4"/>
    <w:rsid w:val="30437365"/>
    <w:rsid w:val="304661A7"/>
    <w:rsid w:val="30542275"/>
    <w:rsid w:val="30747D51"/>
    <w:rsid w:val="3081052D"/>
    <w:rsid w:val="30B7658C"/>
    <w:rsid w:val="30C2647C"/>
    <w:rsid w:val="30CF6EF2"/>
    <w:rsid w:val="30E35E96"/>
    <w:rsid w:val="30E952E5"/>
    <w:rsid w:val="31144557"/>
    <w:rsid w:val="311D2552"/>
    <w:rsid w:val="31243781"/>
    <w:rsid w:val="314C61B4"/>
    <w:rsid w:val="314F5B9C"/>
    <w:rsid w:val="31523B47"/>
    <w:rsid w:val="31591F40"/>
    <w:rsid w:val="3170507B"/>
    <w:rsid w:val="31744984"/>
    <w:rsid w:val="317815C9"/>
    <w:rsid w:val="318C7267"/>
    <w:rsid w:val="31A12A51"/>
    <w:rsid w:val="31D2661E"/>
    <w:rsid w:val="31F51BBD"/>
    <w:rsid w:val="322921B9"/>
    <w:rsid w:val="322D5960"/>
    <w:rsid w:val="32395543"/>
    <w:rsid w:val="32551F95"/>
    <w:rsid w:val="325548AF"/>
    <w:rsid w:val="325C17E3"/>
    <w:rsid w:val="325C5FF4"/>
    <w:rsid w:val="328323AD"/>
    <w:rsid w:val="328E5E97"/>
    <w:rsid w:val="32973866"/>
    <w:rsid w:val="32AC2021"/>
    <w:rsid w:val="32C6485A"/>
    <w:rsid w:val="32CB0571"/>
    <w:rsid w:val="32DE0865"/>
    <w:rsid w:val="32E028CB"/>
    <w:rsid w:val="32F65BDA"/>
    <w:rsid w:val="32F83D10"/>
    <w:rsid w:val="334764F4"/>
    <w:rsid w:val="334B65FC"/>
    <w:rsid w:val="338964DC"/>
    <w:rsid w:val="339758BD"/>
    <w:rsid w:val="339C7D4F"/>
    <w:rsid w:val="33A44248"/>
    <w:rsid w:val="33BC2E62"/>
    <w:rsid w:val="33C521FE"/>
    <w:rsid w:val="33CF5F86"/>
    <w:rsid w:val="33D8527D"/>
    <w:rsid w:val="33DB357D"/>
    <w:rsid w:val="33DF260C"/>
    <w:rsid w:val="3414288A"/>
    <w:rsid w:val="34454CA6"/>
    <w:rsid w:val="344A5AB1"/>
    <w:rsid w:val="345E4478"/>
    <w:rsid w:val="346160AB"/>
    <w:rsid w:val="34695A44"/>
    <w:rsid w:val="346E0B94"/>
    <w:rsid w:val="347A459C"/>
    <w:rsid w:val="347E2175"/>
    <w:rsid w:val="34804B13"/>
    <w:rsid w:val="348B3E93"/>
    <w:rsid w:val="34B12305"/>
    <w:rsid w:val="34BB2136"/>
    <w:rsid w:val="34CE2F00"/>
    <w:rsid w:val="34D431D7"/>
    <w:rsid w:val="34DF0F8C"/>
    <w:rsid w:val="3517711D"/>
    <w:rsid w:val="35193E12"/>
    <w:rsid w:val="351A3B61"/>
    <w:rsid w:val="35201CCF"/>
    <w:rsid w:val="352D2D84"/>
    <w:rsid w:val="35313B65"/>
    <w:rsid w:val="35345F42"/>
    <w:rsid w:val="355E5BE4"/>
    <w:rsid w:val="356339F7"/>
    <w:rsid w:val="3564581D"/>
    <w:rsid w:val="356D2CF1"/>
    <w:rsid w:val="356F6697"/>
    <w:rsid w:val="3575621C"/>
    <w:rsid w:val="3595208D"/>
    <w:rsid w:val="35971961"/>
    <w:rsid w:val="35A04FF3"/>
    <w:rsid w:val="35AE4166"/>
    <w:rsid w:val="35B65B88"/>
    <w:rsid w:val="35B8053A"/>
    <w:rsid w:val="35CE07F2"/>
    <w:rsid w:val="35CE5279"/>
    <w:rsid w:val="35D963E6"/>
    <w:rsid w:val="35FD7FB4"/>
    <w:rsid w:val="3618201D"/>
    <w:rsid w:val="3621177A"/>
    <w:rsid w:val="36242942"/>
    <w:rsid w:val="363A666D"/>
    <w:rsid w:val="36537469"/>
    <w:rsid w:val="368F622C"/>
    <w:rsid w:val="369601B0"/>
    <w:rsid w:val="36A9681E"/>
    <w:rsid w:val="36AA46B4"/>
    <w:rsid w:val="36D9503C"/>
    <w:rsid w:val="36F445B4"/>
    <w:rsid w:val="36FA2E4F"/>
    <w:rsid w:val="37120A40"/>
    <w:rsid w:val="37122CEA"/>
    <w:rsid w:val="372100FB"/>
    <w:rsid w:val="37290099"/>
    <w:rsid w:val="3735652B"/>
    <w:rsid w:val="3736667B"/>
    <w:rsid w:val="374128DC"/>
    <w:rsid w:val="375D3FE8"/>
    <w:rsid w:val="376318CF"/>
    <w:rsid w:val="3770383D"/>
    <w:rsid w:val="37715C85"/>
    <w:rsid w:val="377C1322"/>
    <w:rsid w:val="377D713B"/>
    <w:rsid w:val="3784212C"/>
    <w:rsid w:val="37CA63A8"/>
    <w:rsid w:val="37CC1D08"/>
    <w:rsid w:val="37E454DB"/>
    <w:rsid w:val="37E61372"/>
    <w:rsid w:val="37E8710D"/>
    <w:rsid w:val="37F05CC2"/>
    <w:rsid w:val="37F1507A"/>
    <w:rsid w:val="37F95AC6"/>
    <w:rsid w:val="37FE1923"/>
    <w:rsid w:val="3811361F"/>
    <w:rsid w:val="385A7756"/>
    <w:rsid w:val="38674967"/>
    <w:rsid w:val="38761876"/>
    <w:rsid w:val="38954EDE"/>
    <w:rsid w:val="38965107"/>
    <w:rsid w:val="389C5924"/>
    <w:rsid w:val="38D7100F"/>
    <w:rsid w:val="38DF3DE3"/>
    <w:rsid w:val="38EE2019"/>
    <w:rsid w:val="39367E81"/>
    <w:rsid w:val="393F1547"/>
    <w:rsid w:val="39402A7A"/>
    <w:rsid w:val="397067A2"/>
    <w:rsid w:val="39724613"/>
    <w:rsid w:val="39750524"/>
    <w:rsid w:val="39900A8A"/>
    <w:rsid w:val="39AD0599"/>
    <w:rsid w:val="39AE0BC1"/>
    <w:rsid w:val="39AE37C3"/>
    <w:rsid w:val="39B1253B"/>
    <w:rsid w:val="39C64155"/>
    <w:rsid w:val="39E343BD"/>
    <w:rsid w:val="3A33152C"/>
    <w:rsid w:val="3A4438A4"/>
    <w:rsid w:val="3A5E652C"/>
    <w:rsid w:val="3A6C6C36"/>
    <w:rsid w:val="3A7E2DD8"/>
    <w:rsid w:val="3A822F78"/>
    <w:rsid w:val="3AA577AD"/>
    <w:rsid w:val="3AAE3A20"/>
    <w:rsid w:val="3AB31168"/>
    <w:rsid w:val="3ABC7F53"/>
    <w:rsid w:val="3AE93F0E"/>
    <w:rsid w:val="3B057EC0"/>
    <w:rsid w:val="3B1A783A"/>
    <w:rsid w:val="3B302C5A"/>
    <w:rsid w:val="3B351BE9"/>
    <w:rsid w:val="3B381D36"/>
    <w:rsid w:val="3B43560E"/>
    <w:rsid w:val="3B6873DC"/>
    <w:rsid w:val="3B6E4208"/>
    <w:rsid w:val="3B7A2016"/>
    <w:rsid w:val="3B8628B6"/>
    <w:rsid w:val="3B8714D8"/>
    <w:rsid w:val="3B950066"/>
    <w:rsid w:val="3BA702A9"/>
    <w:rsid w:val="3BBA302C"/>
    <w:rsid w:val="3BFB12B0"/>
    <w:rsid w:val="3BFD3C51"/>
    <w:rsid w:val="3BFF19E6"/>
    <w:rsid w:val="3BFF56EF"/>
    <w:rsid w:val="3C0E11C2"/>
    <w:rsid w:val="3C103A8C"/>
    <w:rsid w:val="3C184615"/>
    <w:rsid w:val="3C2E1A68"/>
    <w:rsid w:val="3C400A64"/>
    <w:rsid w:val="3C8223E2"/>
    <w:rsid w:val="3C8D6E0D"/>
    <w:rsid w:val="3C9E7CD6"/>
    <w:rsid w:val="3CAF0B19"/>
    <w:rsid w:val="3CB205DA"/>
    <w:rsid w:val="3CB333DC"/>
    <w:rsid w:val="3CCB46CA"/>
    <w:rsid w:val="3CD11E57"/>
    <w:rsid w:val="3CD24E59"/>
    <w:rsid w:val="3D015E38"/>
    <w:rsid w:val="3D140A86"/>
    <w:rsid w:val="3D284A64"/>
    <w:rsid w:val="3D4804B5"/>
    <w:rsid w:val="3D784BEF"/>
    <w:rsid w:val="3D99103B"/>
    <w:rsid w:val="3D9D0E19"/>
    <w:rsid w:val="3DB9490C"/>
    <w:rsid w:val="3DBE5EDC"/>
    <w:rsid w:val="3DC441B8"/>
    <w:rsid w:val="3DDE500C"/>
    <w:rsid w:val="3E0455FE"/>
    <w:rsid w:val="3E122463"/>
    <w:rsid w:val="3E1705DF"/>
    <w:rsid w:val="3E2942C5"/>
    <w:rsid w:val="3E334C0C"/>
    <w:rsid w:val="3E604AC8"/>
    <w:rsid w:val="3E796A31"/>
    <w:rsid w:val="3E9073D2"/>
    <w:rsid w:val="3E9F1FB9"/>
    <w:rsid w:val="3EA76343"/>
    <w:rsid w:val="3EB3067A"/>
    <w:rsid w:val="3EDF1E0E"/>
    <w:rsid w:val="3EE364AF"/>
    <w:rsid w:val="3F3219B7"/>
    <w:rsid w:val="3F374504"/>
    <w:rsid w:val="3F71218F"/>
    <w:rsid w:val="3F7E3E67"/>
    <w:rsid w:val="3F930040"/>
    <w:rsid w:val="3F970197"/>
    <w:rsid w:val="3FAB074A"/>
    <w:rsid w:val="3FAE05D5"/>
    <w:rsid w:val="3FB05648"/>
    <w:rsid w:val="3FB23B59"/>
    <w:rsid w:val="3FCD4DB1"/>
    <w:rsid w:val="3FD56411"/>
    <w:rsid w:val="3FE632B6"/>
    <w:rsid w:val="3FFB35DB"/>
    <w:rsid w:val="403F088D"/>
    <w:rsid w:val="406859AA"/>
    <w:rsid w:val="406B6564"/>
    <w:rsid w:val="408F4BD8"/>
    <w:rsid w:val="40A91A34"/>
    <w:rsid w:val="40AD437E"/>
    <w:rsid w:val="40B10260"/>
    <w:rsid w:val="40B735A6"/>
    <w:rsid w:val="40BB4F3F"/>
    <w:rsid w:val="40D3739D"/>
    <w:rsid w:val="41026C78"/>
    <w:rsid w:val="41473CFD"/>
    <w:rsid w:val="414E437B"/>
    <w:rsid w:val="41AB242F"/>
    <w:rsid w:val="41C9544D"/>
    <w:rsid w:val="41CD68AE"/>
    <w:rsid w:val="41D4257B"/>
    <w:rsid w:val="41D95182"/>
    <w:rsid w:val="41DE5FC0"/>
    <w:rsid w:val="41F4595F"/>
    <w:rsid w:val="42137B03"/>
    <w:rsid w:val="421D4014"/>
    <w:rsid w:val="42513ADD"/>
    <w:rsid w:val="42692609"/>
    <w:rsid w:val="426E7C3A"/>
    <w:rsid w:val="427C76F8"/>
    <w:rsid w:val="42812D23"/>
    <w:rsid w:val="42A5477E"/>
    <w:rsid w:val="42A55765"/>
    <w:rsid w:val="42BA3DC5"/>
    <w:rsid w:val="42E56005"/>
    <w:rsid w:val="431E0EF6"/>
    <w:rsid w:val="43220649"/>
    <w:rsid w:val="432B64ED"/>
    <w:rsid w:val="433779DA"/>
    <w:rsid w:val="43453B8E"/>
    <w:rsid w:val="434A5217"/>
    <w:rsid w:val="43743944"/>
    <w:rsid w:val="43750529"/>
    <w:rsid w:val="438422EA"/>
    <w:rsid w:val="43946DB2"/>
    <w:rsid w:val="43C50111"/>
    <w:rsid w:val="43C5432B"/>
    <w:rsid w:val="43CF4A53"/>
    <w:rsid w:val="43DA5363"/>
    <w:rsid w:val="44071554"/>
    <w:rsid w:val="440A5BB7"/>
    <w:rsid w:val="444B3D71"/>
    <w:rsid w:val="444E2882"/>
    <w:rsid w:val="444F2BED"/>
    <w:rsid w:val="44770A1B"/>
    <w:rsid w:val="44803F86"/>
    <w:rsid w:val="448076B8"/>
    <w:rsid w:val="448A17EB"/>
    <w:rsid w:val="448D4B91"/>
    <w:rsid w:val="44A66B5E"/>
    <w:rsid w:val="44AD7DE0"/>
    <w:rsid w:val="44B04F3E"/>
    <w:rsid w:val="44B479E6"/>
    <w:rsid w:val="44B76A8F"/>
    <w:rsid w:val="44BA5299"/>
    <w:rsid w:val="44BC304C"/>
    <w:rsid w:val="44BC4363"/>
    <w:rsid w:val="44E10458"/>
    <w:rsid w:val="44F0157A"/>
    <w:rsid w:val="44F66A57"/>
    <w:rsid w:val="44FD0056"/>
    <w:rsid w:val="44FF12E5"/>
    <w:rsid w:val="44FF2593"/>
    <w:rsid w:val="4541211C"/>
    <w:rsid w:val="45581245"/>
    <w:rsid w:val="45733286"/>
    <w:rsid w:val="458E64C7"/>
    <w:rsid w:val="45931230"/>
    <w:rsid w:val="45B116AC"/>
    <w:rsid w:val="45D60C14"/>
    <w:rsid w:val="45E51499"/>
    <w:rsid w:val="45EA25A2"/>
    <w:rsid w:val="45F64BD8"/>
    <w:rsid w:val="45FA4BA3"/>
    <w:rsid w:val="46910894"/>
    <w:rsid w:val="46A31066"/>
    <w:rsid w:val="46A71014"/>
    <w:rsid w:val="46B9036E"/>
    <w:rsid w:val="46C0201F"/>
    <w:rsid w:val="46C47020"/>
    <w:rsid w:val="46C64492"/>
    <w:rsid w:val="46CB2A55"/>
    <w:rsid w:val="46D10FC6"/>
    <w:rsid w:val="46EA3DEB"/>
    <w:rsid w:val="46FF0485"/>
    <w:rsid w:val="47003C13"/>
    <w:rsid w:val="470A593E"/>
    <w:rsid w:val="471F5E7E"/>
    <w:rsid w:val="47213D2E"/>
    <w:rsid w:val="472623C2"/>
    <w:rsid w:val="472B72DF"/>
    <w:rsid w:val="474C3E84"/>
    <w:rsid w:val="47593359"/>
    <w:rsid w:val="4765181F"/>
    <w:rsid w:val="477C7BD2"/>
    <w:rsid w:val="478D1966"/>
    <w:rsid w:val="479F4A96"/>
    <w:rsid w:val="47B2337B"/>
    <w:rsid w:val="47C83F3F"/>
    <w:rsid w:val="47DD1B2A"/>
    <w:rsid w:val="47E02324"/>
    <w:rsid w:val="47F02C32"/>
    <w:rsid w:val="48073AB4"/>
    <w:rsid w:val="480C15F7"/>
    <w:rsid w:val="4832024E"/>
    <w:rsid w:val="48552390"/>
    <w:rsid w:val="48756BE8"/>
    <w:rsid w:val="48760C91"/>
    <w:rsid w:val="48904C82"/>
    <w:rsid w:val="48A83582"/>
    <w:rsid w:val="48BD400F"/>
    <w:rsid w:val="48C43ABA"/>
    <w:rsid w:val="48C449C9"/>
    <w:rsid w:val="48D07FFD"/>
    <w:rsid w:val="48DE60F7"/>
    <w:rsid w:val="48E413E1"/>
    <w:rsid w:val="490A0DEA"/>
    <w:rsid w:val="491B122F"/>
    <w:rsid w:val="494B3B9E"/>
    <w:rsid w:val="496B4F6A"/>
    <w:rsid w:val="499F6B75"/>
    <w:rsid w:val="49A5263E"/>
    <w:rsid w:val="49AC10A5"/>
    <w:rsid w:val="49DB1B45"/>
    <w:rsid w:val="49EF154C"/>
    <w:rsid w:val="49F4158E"/>
    <w:rsid w:val="49FA4C17"/>
    <w:rsid w:val="4A0839B1"/>
    <w:rsid w:val="4A1B1AA4"/>
    <w:rsid w:val="4A1C4C73"/>
    <w:rsid w:val="4A283338"/>
    <w:rsid w:val="4A3C1AA5"/>
    <w:rsid w:val="4A8536B5"/>
    <w:rsid w:val="4AA7235D"/>
    <w:rsid w:val="4AAC5F59"/>
    <w:rsid w:val="4ABE1CF5"/>
    <w:rsid w:val="4AC46C7E"/>
    <w:rsid w:val="4AE53D06"/>
    <w:rsid w:val="4B0B474B"/>
    <w:rsid w:val="4B1B7C93"/>
    <w:rsid w:val="4B562118"/>
    <w:rsid w:val="4B8A3B03"/>
    <w:rsid w:val="4B8C0A01"/>
    <w:rsid w:val="4B8D1702"/>
    <w:rsid w:val="4B917ACD"/>
    <w:rsid w:val="4BA662B7"/>
    <w:rsid w:val="4BAF2348"/>
    <w:rsid w:val="4BB71ED8"/>
    <w:rsid w:val="4BB7706A"/>
    <w:rsid w:val="4BC476AE"/>
    <w:rsid w:val="4BC615E0"/>
    <w:rsid w:val="4BD73577"/>
    <w:rsid w:val="4BF26011"/>
    <w:rsid w:val="4BF35865"/>
    <w:rsid w:val="4C0C559F"/>
    <w:rsid w:val="4C144ACD"/>
    <w:rsid w:val="4C1771EA"/>
    <w:rsid w:val="4C352F0F"/>
    <w:rsid w:val="4C4654F4"/>
    <w:rsid w:val="4C483829"/>
    <w:rsid w:val="4C4F1F93"/>
    <w:rsid w:val="4C671669"/>
    <w:rsid w:val="4C6A2590"/>
    <w:rsid w:val="4C7C2508"/>
    <w:rsid w:val="4C931474"/>
    <w:rsid w:val="4CA31BB6"/>
    <w:rsid w:val="4CC277A8"/>
    <w:rsid w:val="4CC479A7"/>
    <w:rsid w:val="4CCF783C"/>
    <w:rsid w:val="4CDF5E46"/>
    <w:rsid w:val="4CF47ABE"/>
    <w:rsid w:val="4CF8003E"/>
    <w:rsid w:val="4D216A72"/>
    <w:rsid w:val="4D335F3C"/>
    <w:rsid w:val="4D376DB8"/>
    <w:rsid w:val="4D605276"/>
    <w:rsid w:val="4D737560"/>
    <w:rsid w:val="4D8B0354"/>
    <w:rsid w:val="4D9D3991"/>
    <w:rsid w:val="4DE12D32"/>
    <w:rsid w:val="4DF961D6"/>
    <w:rsid w:val="4E0D3458"/>
    <w:rsid w:val="4E230CD5"/>
    <w:rsid w:val="4E26281C"/>
    <w:rsid w:val="4E5B696D"/>
    <w:rsid w:val="4E697143"/>
    <w:rsid w:val="4E7F6455"/>
    <w:rsid w:val="4E8274C9"/>
    <w:rsid w:val="4E961FE5"/>
    <w:rsid w:val="4E966963"/>
    <w:rsid w:val="4E9F797F"/>
    <w:rsid w:val="4EA758A0"/>
    <w:rsid w:val="4EB25BCA"/>
    <w:rsid w:val="4EBE1C5E"/>
    <w:rsid w:val="4ECA2111"/>
    <w:rsid w:val="4ECA3741"/>
    <w:rsid w:val="4ED421A3"/>
    <w:rsid w:val="4EDF7809"/>
    <w:rsid w:val="4EE32B4E"/>
    <w:rsid w:val="4EE95F0C"/>
    <w:rsid w:val="4EFB0083"/>
    <w:rsid w:val="4F207DA3"/>
    <w:rsid w:val="4F2A5885"/>
    <w:rsid w:val="4F2F7AE8"/>
    <w:rsid w:val="4F4F37F6"/>
    <w:rsid w:val="4F637D4D"/>
    <w:rsid w:val="4F9D6469"/>
    <w:rsid w:val="4FBB465F"/>
    <w:rsid w:val="4FE171EE"/>
    <w:rsid w:val="4FE57021"/>
    <w:rsid w:val="4FF327A1"/>
    <w:rsid w:val="4FF81043"/>
    <w:rsid w:val="4FF84471"/>
    <w:rsid w:val="500409C1"/>
    <w:rsid w:val="500F03EB"/>
    <w:rsid w:val="501A175A"/>
    <w:rsid w:val="501F47AB"/>
    <w:rsid w:val="50455289"/>
    <w:rsid w:val="50466582"/>
    <w:rsid w:val="5059740D"/>
    <w:rsid w:val="506F5870"/>
    <w:rsid w:val="507A615C"/>
    <w:rsid w:val="50AD1EDC"/>
    <w:rsid w:val="50B35257"/>
    <w:rsid w:val="50B61B5E"/>
    <w:rsid w:val="50C8456B"/>
    <w:rsid w:val="50DC569F"/>
    <w:rsid w:val="510D6384"/>
    <w:rsid w:val="513E6359"/>
    <w:rsid w:val="51577CEB"/>
    <w:rsid w:val="51661317"/>
    <w:rsid w:val="519570C5"/>
    <w:rsid w:val="519A7E33"/>
    <w:rsid w:val="51A5780A"/>
    <w:rsid w:val="51AA27D4"/>
    <w:rsid w:val="51B44081"/>
    <w:rsid w:val="52101703"/>
    <w:rsid w:val="52154429"/>
    <w:rsid w:val="521C7F46"/>
    <w:rsid w:val="5243576F"/>
    <w:rsid w:val="526251AB"/>
    <w:rsid w:val="52644339"/>
    <w:rsid w:val="5269648E"/>
    <w:rsid w:val="528E6069"/>
    <w:rsid w:val="52985C28"/>
    <w:rsid w:val="52996442"/>
    <w:rsid w:val="52A50359"/>
    <w:rsid w:val="52BE4DE4"/>
    <w:rsid w:val="52D13A46"/>
    <w:rsid w:val="52E03BD9"/>
    <w:rsid w:val="52EB1898"/>
    <w:rsid w:val="52F32050"/>
    <w:rsid w:val="530A715D"/>
    <w:rsid w:val="532A33A7"/>
    <w:rsid w:val="53331C8C"/>
    <w:rsid w:val="533C6CE9"/>
    <w:rsid w:val="537476BA"/>
    <w:rsid w:val="537E5F29"/>
    <w:rsid w:val="53810E86"/>
    <w:rsid w:val="538E6623"/>
    <w:rsid w:val="53A8033B"/>
    <w:rsid w:val="53C03FDD"/>
    <w:rsid w:val="53C82F43"/>
    <w:rsid w:val="53D04FC1"/>
    <w:rsid w:val="53FB1860"/>
    <w:rsid w:val="54244E11"/>
    <w:rsid w:val="544D79D3"/>
    <w:rsid w:val="5459515B"/>
    <w:rsid w:val="546C508A"/>
    <w:rsid w:val="54717794"/>
    <w:rsid w:val="54722F1F"/>
    <w:rsid w:val="54901E4B"/>
    <w:rsid w:val="549036D4"/>
    <w:rsid w:val="54AB0E2D"/>
    <w:rsid w:val="54AE3A89"/>
    <w:rsid w:val="54B001F8"/>
    <w:rsid w:val="54BB0223"/>
    <w:rsid w:val="54CF2358"/>
    <w:rsid w:val="54F30967"/>
    <w:rsid w:val="55026268"/>
    <w:rsid w:val="555F413C"/>
    <w:rsid w:val="5560481F"/>
    <w:rsid w:val="556F3D5A"/>
    <w:rsid w:val="558B6968"/>
    <w:rsid w:val="55D66EF1"/>
    <w:rsid w:val="55DF3413"/>
    <w:rsid w:val="55E36F91"/>
    <w:rsid w:val="56062F0D"/>
    <w:rsid w:val="561E521B"/>
    <w:rsid w:val="564F4750"/>
    <w:rsid w:val="56CB143A"/>
    <w:rsid w:val="56E011F8"/>
    <w:rsid w:val="56F25F93"/>
    <w:rsid w:val="572041C0"/>
    <w:rsid w:val="572E2D99"/>
    <w:rsid w:val="5730040A"/>
    <w:rsid w:val="574A49E8"/>
    <w:rsid w:val="575B068B"/>
    <w:rsid w:val="575B3FBC"/>
    <w:rsid w:val="576C258B"/>
    <w:rsid w:val="57716CCD"/>
    <w:rsid w:val="57735182"/>
    <w:rsid w:val="57751526"/>
    <w:rsid w:val="579B08C7"/>
    <w:rsid w:val="57AB18EA"/>
    <w:rsid w:val="57B3735D"/>
    <w:rsid w:val="57BB50C4"/>
    <w:rsid w:val="57C33B05"/>
    <w:rsid w:val="57C52FF5"/>
    <w:rsid w:val="57D56E06"/>
    <w:rsid w:val="57DB23C3"/>
    <w:rsid w:val="57F17694"/>
    <w:rsid w:val="57F32080"/>
    <w:rsid w:val="57F86A62"/>
    <w:rsid w:val="57FD6781"/>
    <w:rsid w:val="57FD6C35"/>
    <w:rsid w:val="580A72D4"/>
    <w:rsid w:val="580B3C50"/>
    <w:rsid w:val="581D0210"/>
    <w:rsid w:val="582C4DA8"/>
    <w:rsid w:val="583D7A77"/>
    <w:rsid w:val="58530075"/>
    <w:rsid w:val="585C61AD"/>
    <w:rsid w:val="58691DD2"/>
    <w:rsid w:val="589929B0"/>
    <w:rsid w:val="58C73470"/>
    <w:rsid w:val="58CC49B7"/>
    <w:rsid w:val="58E81DA5"/>
    <w:rsid w:val="58F74C00"/>
    <w:rsid w:val="58FF4DD0"/>
    <w:rsid w:val="590565DD"/>
    <w:rsid w:val="590D65AA"/>
    <w:rsid w:val="591F1503"/>
    <w:rsid w:val="593F23D9"/>
    <w:rsid w:val="59442E81"/>
    <w:rsid w:val="595906FF"/>
    <w:rsid w:val="59626D11"/>
    <w:rsid w:val="596843EB"/>
    <w:rsid w:val="59691F20"/>
    <w:rsid w:val="596F1821"/>
    <w:rsid w:val="59767E28"/>
    <w:rsid w:val="597C45F6"/>
    <w:rsid w:val="59A56172"/>
    <w:rsid w:val="59C14D53"/>
    <w:rsid w:val="59ED52F7"/>
    <w:rsid w:val="5A122F98"/>
    <w:rsid w:val="5A2E4507"/>
    <w:rsid w:val="5A382623"/>
    <w:rsid w:val="5A537E7D"/>
    <w:rsid w:val="5A7C3AD1"/>
    <w:rsid w:val="5A7D6A4C"/>
    <w:rsid w:val="5A8824C6"/>
    <w:rsid w:val="5A9A7B75"/>
    <w:rsid w:val="5AAF3A46"/>
    <w:rsid w:val="5AC323F8"/>
    <w:rsid w:val="5ACA60CD"/>
    <w:rsid w:val="5ADC61E7"/>
    <w:rsid w:val="5ADF46A7"/>
    <w:rsid w:val="5ADF5DB8"/>
    <w:rsid w:val="5AE070F5"/>
    <w:rsid w:val="5AE209FF"/>
    <w:rsid w:val="5AE93C40"/>
    <w:rsid w:val="5AEF12A9"/>
    <w:rsid w:val="5AFE5426"/>
    <w:rsid w:val="5B13314E"/>
    <w:rsid w:val="5B1470B0"/>
    <w:rsid w:val="5B1D7119"/>
    <w:rsid w:val="5B3B38C5"/>
    <w:rsid w:val="5B4A4E4E"/>
    <w:rsid w:val="5B4B4D7D"/>
    <w:rsid w:val="5B5A5585"/>
    <w:rsid w:val="5B8E1E30"/>
    <w:rsid w:val="5BAC751A"/>
    <w:rsid w:val="5BBB12BE"/>
    <w:rsid w:val="5BFA507C"/>
    <w:rsid w:val="5C1C0027"/>
    <w:rsid w:val="5C2B565C"/>
    <w:rsid w:val="5C2D0A9F"/>
    <w:rsid w:val="5C3125CF"/>
    <w:rsid w:val="5C32331D"/>
    <w:rsid w:val="5C3459A9"/>
    <w:rsid w:val="5C426D97"/>
    <w:rsid w:val="5C564D8D"/>
    <w:rsid w:val="5C595A86"/>
    <w:rsid w:val="5C622536"/>
    <w:rsid w:val="5C6D21E8"/>
    <w:rsid w:val="5C700FAE"/>
    <w:rsid w:val="5C852841"/>
    <w:rsid w:val="5CCD16C7"/>
    <w:rsid w:val="5CCD1830"/>
    <w:rsid w:val="5CE871FF"/>
    <w:rsid w:val="5CEA6416"/>
    <w:rsid w:val="5CF67230"/>
    <w:rsid w:val="5D67524E"/>
    <w:rsid w:val="5D6A385A"/>
    <w:rsid w:val="5D7D0BFB"/>
    <w:rsid w:val="5D9403CA"/>
    <w:rsid w:val="5DA9446A"/>
    <w:rsid w:val="5DB062C3"/>
    <w:rsid w:val="5DBC4738"/>
    <w:rsid w:val="5DE241A0"/>
    <w:rsid w:val="5DE63370"/>
    <w:rsid w:val="5DE759E6"/>
    <w:rsid w:val="5DEC1351"/>
    <w:rsid w:val="5DF3265A"/>
    <w:rsid w:val="5E0910FB"/>
    <w:rsid w:val="5E5D5FA5"/>
    <w:rsid w:val="5E7B1DC2"/>
    <w:rsid w:val="5E7D032A"/>
    <w:rsid w:val="5E7F4BE8"/>
    <w:rsid w:val="5E877BD0"/>
    <w:rsid w:val="5E8D3C23"/>
    <w:rsid w:val="5E95783A"/>
    <w:rsid w:val="5EBB6329"/>
    <w:rsid w:val="5EE830B2"/>
    <w:rsid w:val="5F51623C"/>
    <w:rsid w:val="5F7F75DC"/>
    <w:rsid w:val="5FB34BFF"/>
    <w:rsid w:val="5FB90798"/>
    <w:rsid w:val="5FBA757E"/>
    <w:rsid w:val="5FBF3937"/>
    <w:rsid w:val="5FC80BBB"/>
    <w:rsid w:val="5FD45180"/>
    <w:rsid w:val="5FD732AB"/>
    <w:rsid w:val="5FDA71D8"/>
    <w:rsid w:val="5FDD4B1F"/>
    <w:rsid w:val="5FEC09BD"/>
    <w:rsid w:val="5FFD03EA"/>
    <w:rsid w:val="6005545D"/>
    <w:rsid w:val="60204DC3"/>
    <w:rsid w:val="60236A1F"/>
    <w:rsid w:val="602D5426"/>
    <w:rsid w:val="6049293E"/>
    <w:rsid w:val="604D7716"/>
    <w:rsid w:val="605B1C53"/>
    <w:rsid w:val="607A44BC"/>
    <w:rsid w:val="60B32919"/>
    <w:rsid w:val="60BD5F46"/>
    <w:rsid w:val="60C37D16"/>
    <w:rsid w:val="60D35DE4"/>
    <w:rsid w:val="614C799C"/>
    <w:rsid w:val="615C15E8"/>
    <w:rsid w:val="61623ECB"/>
    <w:rsid w:val="617B1622"/>
    <w:rsid w:val="619B5F12"/>
    <w:rsid w:val="61AC77D8"/>
    <w:rsid w:val="61C11DF3"/>
    <w:rsid w:val="61C828CE"/>
    <w:rsid w:val="6200516C"/>
    <w:rsid w:val="62145AA4"/>
    <w:rsid w:val="62614174"/>
    <w:rsid w:val="626B2979"/>
    <w:rsid w:val="628A19AB"/>
    <w:rsid w:val="62AB2A53"/>
    <w:rsid w:val="62AF6ED5"/>
    <w:rsid w:val="62B54E86"/>
    <w:rsid w:val="62BA79E4"/>
    <w:rsid w:val="62BE273C"/>
    <w:rsid w:val="62C02DA9"/>
    <w:rsid w:val="62E4334D"/>
    <w:rsid w:val="62EC7661"/>
    <w:rsid w:val="62F217A5"/>
    <w:rsid w:val="62F62AA4"/>
    <w:rsid w:val="62F70DE2"/>
    <w:rsid w:val="63026180"/>
    <w:rsid w:val="63131DB4"/>
    <w:rsid w:val="63702476"/>
    <w:rsid w:val="637A7B55"/>
    <w:rsid w:val="637E01C1"/>
    <w:rsid w:val="637F704B"/>
    <w:rsid w:val="63A13700"/>
    <w:rsid w:val="63A3148B"/>
    <w:rsid w:val="63A7308B"/>
    <w:rsid w:val="63DE4C70"/>
    <w:rsid w:val="63EE35EA"/>
    <w:rsid w:val="64111D9A"/>
    <w:rsid w:val="64156776"/>
    <w:rsid w:val="641965D6"/>
    <w:rsid w:val="64236A74"/>
    <w:rsid w:val="646A4B46"/>
    <w:rsid w:val="646D4AE4"/>
    <w:rsid w:val="64786C62"/>
    <w:rsid w:val="64945CAC"/>
    <w:rsid w:val="64980F63"/>
    <w:rsid w:val="649D7B29"/>
    <w:rsid w:val="64B9003C"/>
    <w:rsid w:val="650047A0"/>
    <w:rsid w:val="65056443"/>
    <w:rsid w:val="65275F31"/>
    <w:rsid w:val="653C6BAC"/>
    <w:rsid w:val="65572C69"/>
    <w:rsid w:val="65724231"/>
    <w:rsid w:val="657573B3"/>
    <w:rsid w:val="65923D0D"/>
    <w:rsid w:val="65A06B45"/>
    <w:rsid w:val="65B13FB0"/>
    <w:rsid w:val="66050721"/>
    <w:rsid w:val="660602A2"/>
    <w:rsid w:val="661974FA"/>
    <w:rsid w:val="662D1E27"/>
    <w:rsid w:val="665529E5"/>
    <w:rsid w:val="66710D99"/>
    <w:rsid w:val="66846E2C"/>
    <w:rsid w:val="66871D34"/>
    <w:rsid w:val="66A04771"/>
    <w:rsid w:val="66A065CB"/>
    <w:rsid w:val="66C64AE8"/>
    <w:rsid w:val="66ED6E39"/>
    <w:rsid w:val="66F466BB"/>
    <w:rsid w:val="67132E4B"/>
    <w:rsid w:val="6714430B"/>
    <w:rsid w:val="674D2D5A"/>
    <w:rsid w:val="6781266E"/>
    <w:rsid w:val="678A6D47"/>
    <w:rsid w:val="678B3FB5"/>
    <w:rsid w:val="678C4424"/>
    <w:rsid w:val="67A830A5"/>
    <w:rsid w:val="67D850B3"/>
    <w:rsid w:val="67DA4CE8"/>
    <w:rsid w:val="67E72313"/>
    <w:rsid w:val="67F6140A"/>
    <w:rsid w:val="680359B2"/>
    <w:rsid w:val="68103310"/>
    <w:rsid w:val="68350FD0"/>
    <w:rsid w:val="683A0574"/>
    <w:rsid w:val="68484987"/>
    <w:rsid w:val="68556A7C"/>
    <w:rsid w:val="685F18D0"/>
    <w:rsid w:val="68926074"/>
    <w:rsid w:val="68C058EC"/>
    <w:rsid w:val="68C42D09"/>
    <w:rsid w:val="68D11316"/>
    <w:rsid w:val="68D55C1E"/>
    <w:rsid w:val="68F954C6"/>
    <w:rsid w:val="691046D8"/>
    <w:rsid w:val="69175C24"/>
    <w:rsid w:val="692418AF"/>
    <w:rsid w:val="6945629C"/>
    <w:rsid w:val="69463492"/>
    <w:rsid w:val="69482CC7"/>
    <w:rsid w:val="69556E49"/>
    <w:rsid w:val="69676431"/>
    <w:rsid w:val="697D4FE1"/>
    <w:rsid w:val="69887F53"/>
    <w:rsid w:val="69A15146"/>
    <w:rsid w:val="69A739D5"/>
    <w:rsid w:val="69D8600F"/>
    <w:rsid w:val="69ED2991"/>
    <w:rsid w:val="6A034B0D"/>
    <w:rsid w:val="6A07482B"/>
    <w:rsid w:val="6A23364C"/>
    <w:rsid w:val="6A353B9C"/>
    <w:rsid w:val="6A5D4367"/>
    <w:rsid w:val="6A9A0C5A"/>
    <w:rsid w:val="6A9F3611"/>
    <w:rsid w:val="6AA34080"/>
    <w:rsid w:val="6AA416A7"/>
    <w:rsid w:val="6ABC6A9F"/>
    <w:rsid w:val="6AC015B7"/>
    <w:rsid w:val="6ACC4F26"/>
    <w:rsid w:val="6AD519F0"/>
    <w:rsid w:val="6B2A24A5"/>
    <w:rsid w:val="6B2E2AA6"/>
    <w:rsid w:val="6B4109B7"/>
    <w:rsid w:val="6B532654"/>
    <w:rsid w:val="6B55792F"/>
    <w:rsid w:val="6B68504B"/>
    <w:rsid w:val="6B6A4ACD"/>
    <w:rsid w:val="6B746EDE"/>
    <w:rsid w:val="6B8A7727"/>
    <w:rsid w:val="6B8E4544"/>
    <w:rsid w:val="6BB5410E"/>
    <w:rsid w:val="6BE00672"/>
    <w:rsid w:val="6BE2391C"/>
    <w:rsid w:val="6BF80BB4"/>
    <w:rsid w:val="6C110B01"/>
    <w:rsid w:val="6C1523F4"/>
    <w:rsid w:val="6C4634E5"/>
    <w:rsid w:val="6C634279"/>
    <w:rsid w:val="6C635877"/>
    <w:rsid w:val="6C7A295B"/>
    <w:rsid w:val="6C7D20B2"/>
    <w:rsid w:val="6C7E2113"/>
    <w:rsid w:val="6C894E51"/>
    <w:rsid w:val="6C9C1328"/>
    <w:rsid w:val="6C9D15EB"/>
    <w:rsid w:val="6CCB4901"/>
    <w:rsid w:val="6CD948BF"/>
    <w:rsid w:val="6CDA35EE"/>
    <w:rsid w:val="6CFE6746"/>
    <w:rsid w:val="6D0F3940"/>
    <w:rsid w:val="6D45301E"/>
    <w:rsid w:val="6D574834"/>
    <w:rsid w:val="6D841658"/>
    <w:rsid w:val="6DBD0F75"/>
    <w:rsid w:val="6DC2215E"/>
    <w:rsid w:val="6DE64874"/>
    <w:rsid w:val="6DEB155E"/>
    <w:rsid w:val="6DF67E13"/>
    <w:rsid w:val="6E0B5E26"/>
    <w:rsid w:val="6E4C7AD0"/>
    <w:rsid w:val="6E5E2D65"/>
    <w:rsid w:val="6E644912"/>
    <w:rsid w:val="6E7B164C"/>
    <w:rsid w:val="6E7D120C"/>
    <w:rsid w:val="6E835021"/>
    <w:rsid w:val="6E836EB3"/>
    <w:rsid w:val="6E8E1857"/>
    <w:rsid w:val="6E954148"/>
    <w:rsid w:val="6EB63637"/>
    <w:rsid w:val="6EB92D9C"/>
    <w:rsid w:val="6F5F77F5"/>
    <w:rsid w:val="6F670178"/>
    <w:rsid w:val="6F88103A"/>
    <w:rsid w:val="6F92435F"/>
    <w:rsid w:val="6F95222C"/>
    <w:rsid w:val="6FA50F60"/>
    <w:rsid w:val="6FC71803"/>
    <w:rsid w:val="6FD00D71"/>
    <w:rsid w:val="6FD42998"/>
    <w:rsid w:val="6FF71568"/>
    <w:rsid w:val="6FFB66C9"/>
    <w:rsid w:val="6FFC4E63"/>
    <w:rsid w:val="702029FF"/>
    <w:rsid w:val="704B03BD"/>
    <w:rsid w:val="704D3AFB"/>
    <w:rsid w:val="70543291"/>
    <w:rsid w:val="70561373"/>
    <w:rsid w:val="705B0FDF"/>
    <w:rsid w:val="705C12DC"/>
    <w:rsid w:val="70AA177F"/>
    <w:rsid w:val="70AF363F"/>
    <w:rsid w:val="70B87295"/>
    <w:rsid w:val="70D51BF1"/>
    <w:rsid w:val="70DE3838"/>
    <w:rsid w:val="71051856"/>
    <w:rsid w:val="715B34A8"/>
    <w:rsid w:val="715F110D"/>
    <w:rsid w:val="71641F09"/>
    <w:rsid w:val="719A4F6F"/>
    <w:rsid w:val="71A23F0C"/>
    <w:rsid w:val="71B879BC"/>
    <w:rsid w:val="71BF5D90"/>
    <w:rsid w:val="71CD6FF4"/>
    <w:rsid w:val="71FE2EA4"/>
    <w:rsid w:val="72056BA3"/>
    <w:rsid w:val="721C3BE1"/>
    <w:rsid w:val="7227263A"/>
    <w:rsid w:val="723C307A"/>
    <w:rsid w:val="72864668"/>
    <w:rsid w:val="72914BF4"/>
    <w:rsid w:val="72AC573C"/>
    <w:rsid w:val="72E52335"/>
    <w:rsid w:val="72EC439A"/>
    <w:rsid w:val="7308037E"/>
    <w:rsid w:val="731E580C"/>
    <w:rsid w:val="7327224B"/>
    <w:rsid w:val="732B2982"/>
    <w:rsid w:val="732C63EF"/>
    <w:rsid w:val="732D6BDA"/>
    <w:rsid w:val="734247D0"/>
    <w:rsid w:val="734E6022"/>
    <w:rsid w:val="73540D4F"/>
    <w:rsid w:val="73735617"/>
    <w:rsid w:val="7376114D"/>
    <w:rsid w:val="73773988"/>
    <w:rsid w:val="73C6480A"/>
    <w:rsid w:val="73D03363"/>
    <w:rsid w:val="73D16D93"/>
    <w:rsid w:val="73EC223C"/>
    <w:rsid w:val="74186055"/>
    <w:rsid w:val="7431442E"/>
    <w:rsid w:val="74413029"/>
    <w:rsid w:val="744C6C1B"/>
    <w:rsid w:val="7478798B"/>
    <w:rsid w:val="74B16446"/>
    <w:rsid w:val="74F90F97"/>
    <w:rsid w:val="74FD067F"/>
    <w:rsid w:val="751452D7"/>
    <w:rsid w:val="75192409"/>
    <w:rsid w:val="755C79ED"/>
    <w:rsid w:val="75864047"/>
    <w:rsid w:val="75B46122"/>
    <w:rsid w:val="75B542EC"/>
    <w:rsid w:val="75B928D6"/>
    <w:rsid w:val="760B2D61"/>
    <w:rsid w:val="762116DB"/>
    <w:rsid w:val="76213CA4"/>
    <w:rsid w:val="76253093"/>
    <w:rsid w:val="762B780A"/>
    <w:rsid w:val="76597A15"/>
    <w:rsid w:val="766A2795"/>
    <w:rsid w:val="76716C5A"/>
    <w:rsid w:val="76B07CC5"/>
    <w:rsid w:val="76B85EE0"/>
    <w:rsid w:val="76C701A2"/>
    <w:rsid w:val="76D62D22"/>
    <w:rsid w:val="76F17334"/>
    <w:rsid w:val="77194228"/>
    <w:rsid w:val="773D6D75"/>
    <w:rsid w:val="77716201"/>
    <w:rsid w:val="77785E0B"/>
    <w:rsid w:val="778D492C"/>
    <w:rsid w:val="77A15136"/>
    <w:rsid w:val="77BA71F7"/>
    <w:rsid w:val="77CA541A"/>
    <w:rsid w:val="78181816"/>
    <w:rsid w:val="782F143B"/>
    <w:rsid w:val="783B0AD1"/>
    <w:rsid w:val="78483FB3"/>
    <w:rsid w:val="785758F9"/>
    <w:rsid w:val="7870288F"/>
    <w:rsid w:val="78832D42"/>
    <w:rsid w:val="788340D2"/>
    <w:rsid w:val="78872CBA"/>
    <w:rsid w:val="78B30EEB"/>
    <w:rsid w:val="78C806A2"/>
    <w:rsid w:val="78CD3C10"/>
    <w:rsid w:val="78DF3FB0"/>
    <w:rsid w:val="78EA5394"/>
    <w:rsid w:val="78EC5DDE"/>
    <w:rsid w:val="78F85150"/>
    <w:rsid w:val="79113BC5"/>
    <w:rsid w:val="79314165"/>
    <w:rsid w:val="79613A23"/>
    <w:rsid w:val="79824C21"/>
    <w:rsid w:val="79843134"/>
    <w:rsid w:val="798A3CD3"/>
    <w:rsid w:val="79A43C9C"/>
    <w:rsid w:val="7A3F3AEA"/>
    <w:rsid w:val="7A4E0939"/>
    <w:rsid w:val="7A5B3492"/>
    <w:rsid w:val="7A72081D"/>
    <w:rsid w:val="7A764D46"/>
    <w:rsid w:val="7A7A469C"/>
    <w:rsid w:val="7AAF686B"/>
    <w:rsid w:val="7AE93A6B"/>
    <w:rsid w:val="7AF81220"/>
    <w:rsid w:val="7B00436C"/>
    <w:rsid w:val="7B3439CA"/>
    <w:rsid w:val="7B45785E"/>
    <w:rsid w:val="7B496CFB"/>
    <w:rsid w:val="7B4D2511"/>
    <w:rsid w:val="7B5E4E7F"/>
    <w:rsid w:val="7B60752A"/>
    <w:rsid w:val="7B625E0D"/>
    <w:rsid w:val="7B664481"/>
    <w:rsid w:val="7B88398F"/>
    <w:rsid w:val="7BA6526A"/>
    <w:rsid w:val="7BA80613"/>
    <w:rsid w:val="7BFE1AFF"/>
    <w:rsid w:val="7C107EE5"/>
    <w:rsid w:val="7C3B6AB5"/>
    <w:rsid w:val="7C3C2D05"/>
    <w:rsid w:val="7C405C9C"/>
    <w:rsid w:val="7C6C77BB"/>
    <w:rsid w:val="7C791A6C"/>
    <w:rsid w:val="7C891A1B"/>
    <w:rsid w:val="7C9533D9"/>
    <w:rsid w:val="7CA05A53"/>
    <w:rsid w:val="7CC92BB1"/>
    <w:rsid w:val="7CDE08E7"/>
    <w:rsid w:val="7CEB3E11"/>
    <w:rsid w:val="7D1913C1"/>
    <w:rsid w:val="7D255A39"/>
    <w:rsid w:val="7D286897"/>
    <w:rsid w:val="7D534CC0"/>
    <w:rsid w:val="7D57761A"/>
    <w:rsid w:val="7D7146C4"/>
    <w:rsid w:val="7D793E0D"/>
    <w:rsid w:val="7D7C2286"/>
    <w:rsid w:val="7D882F8C"/>
    <w:rsid w:val="7D9F52F6"/>
    <w:rsid w:val="7DAB7D24"/>
    <w:rsid w:val="7DAE4B3D"/>
    <w:rsid w:val="7DB46525"/>
    <w:rsid w:val="7DBB24F9"/>
    <w:rsid w:val="7DD33D3D"/>
    <w:rsid w:val="7DEF465D"/>
    <w:rsid w:val="7DEF61D7"/>
    <w:rsid w:val="7E091134"/>
    <w:rsid w:val="7E1A5F37"/>
    <w:rsid w:val="7E4D2A03"/>
    <w:rsid w:val="7E8722FD"/>
    <w:rsid w:val="7E887F74"/>
    <w:rsid w:val="7EA00490"/>
    <w:rsid w:val="7EA166B7"/>
    <w:rsid w:val="7ED036E3"/>
    <w:rsid w:val="7EE03C3A"/>
    <w:rsid w:val="7EE94FB5"/>
    <w:rsid w:val="7EEC2A64"/>
    <w:rsid w:val="7F0D6D33"/>
    <w:rsid w:val="7F155182"/>
    <w:rsid w:val="7F337AAF"/>
    <w:rsid w:val="7F821E07"/>
    <w:rsid w:val="7F8A165E"/>
    <w:rsid w:val="7F9F739A"/>
    <w:rsid w:val="7FAB7B64"/>
    <w:rsid w:val="7FBE3467"/>
    <w:rsid w:val="7FC9635C"/>
    <w:rsid w:val="7FD258E5"/>
    <w:rsid w:val="7FE00808"/>
    <w:rsid w:val="7FEB4BEA"/>
    <w:rsid w:val="7FF724D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8"/>
    <w:qFormat/>
    <w:uiPriority w:val="0"/>
    <w:pPr>
      <w:keepNext/>
      <w:jc w:val="center"/>
      <w:outlineLvl w:val="0"/>
    </w:pPr>
    <w:rPr>
      <w:rFonts w:ascii="长城仿宋" w:eastAsia="长城仿宋"/>
      <w:b/>
      <w:bCs/>
    </w:rPr>
  </w:style>
  <w:style w:type="paragraph" w:styleId="3">
    <w:name w:val="heading 2"/>
    <w:basedOn w:val="1"/>
    <w:next w:val="1"/>
    <w:link w:val="134"/>
    <w:qFormat/>
    <w:uiPriority w:val="9"/>
    <w:pPr>
      <w:keepNext/>
      <w:keepLines/>
      <w:spacing w:before="260" w:after="260" w:line="416" w:lineRule="auto"/>
      <w:outlineLvl w:val="1"/>
    </w:pPr>
    <w:rPr>
      <w:rFonts w:ascii="黑体" w:hAnsi="黑体" w:eastAsia="Tahoma"/>
      <w:b/>
      <w:bCs/>
      <w:sz w:val="32"/>
      <w:szCs w:val="32"/>
    </w:rPr>
  </w:style>
  <w:style w:type="paragraph" w:styleId="4">
    <w:name w:val="heading 3"/>
    <w:basedOn w:val="1"/>
    <w:next w:val="1"/>
    <w:link w:val="124"/>
    <w:qFormat/>
    <w:uiPriority w:val="9"/>
    <w:pPr>
      <w:keepNext/>
      <w:outlineLvl w:val="2"/>
    </w:pPr>
    <w:rPr>
      <w:b/>
      <w:sz w:val="28"/>
      <w:szCs w:val="20"/>
    </w:rPr>
  </w:style>
  <w:style w:type="paragraph" w:styleId="5">
    <w:name w:val="heading 4"/>
    <w:basedOn w:val="1"/>
    <w:next w:val="1"/>
    <w:link w:val="113"/>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unhideWhenUsed/>
    <w:qFormat/>
    <w:uiPriority w:val="1"/>
  </w:style>
  <w:style w:type="table" w:default="1" w:styleId="36">
    <w:name w:val="Normal Table"/>
    <w:unhideWhenUsed/>
    <w:qFormat/>
    <w:uiPriority w:val="99"/>
    <w:tblPr>
      <w:tblStyle w:val="36"/>
      <w:tblLayout w:type="fixed"/>
      <w:tblCellMar>
        <w:top w:w="0" w:type="dxa"/>
        <w:left w:w="108" w:type="dxa"/>
        <w:bottom w:w="0" w:type="dxa"/>
        <w:right w:w="108" w:type="dxa"/>
      </w:tblCellMar>
    </w:tblPr>
    <w:tcPr>
      <w:textDirection w:val="lrTb"/>
    </w:tcPr>
  </w:style>
  <w:style w:type="paragraph" w:styleId="6">
    <w:name w:val="annotation subject"/>
    <w:basedOn w:val="7"/>
    <w:next w:val="7"/>
    <w:qFormat/>
    <w:uiPriority w:val="0"/>
    <w:rPr>
      <w:b/>
      <w:bCs/>
    </w:rPr>
  </w:style>
  <w:style w:type="paragraph" w:styleId="7">
    <w:name w:val="annotation text"/>
    <w:basedOn w:val="1"/>
    <w:qFormat/>
    <w:uiPriority w:val="0"/>
    <w:pPr>
      <w:jc w:val="left"/>
    </w:pPr>
  </w:style>
  <w:style w:type="paragraph" w:styleId="8">
    <w:name w:val="Body Text First Indent"/>
    <w:basedOn w:val="9"/>
    <w:next w:val="1"/>
    <w:link w:val="122"/>
    <w:qFormat/>
    <w:uiPriority w:val="0"/>
    <w:pPr>
      <w:ind w:firstLine="420" w:firstLineChars="100"/>
    </w:pPr>
    <w:rPr>
      <w:rFonts w:ascii="Arial" w:hAnsi="Arial"/>
    </w:rPr>
  </w:style>
  <w:style w:type="paragraph" w:styleId="9">
    <w:name w:val="Body Text"/>
    <w:basedOn w:val="1"/>
    <w:next w:val="8"/>
    <w:qFormat/>
    <w:uiPriority w:val="0"/>
    <w:pPr>
      <w:spacing w:after="120"/>
    </w:pPr>
  </w:style>
  <w:style w:type="paragraph" w:styleId="10">
    <w:name w:val="Normal Indent"/>
    <w:basedOn w:val="1"/>
    <w:link w:val="125"/>
    <w:qFormat/>
    <w:uiPriority w:val="0"/>
    <w:pPr>
      <w:adjustRightInd w:val="0"/>
      <w:spacing w:line="312" w:lineRule="atLeast"/>
      <w:ind w:firstLine="420"/>
      <w:textAlignment w:val="baseline"/>
    </w:pPr>
    <w:rPr>
      <w:rFonts w:eastAsia="Wingdings"/>
      <w:kern w:val="0"/>
      <w:szCs w:val="20"/>
    </w:rPr>
  </w:style>
  <w:style w:type="paragraph" w:styleId="11">
    <w:name w:val="Document Map"/>
    <w:basedOn w:val="1"/>
    <w:link w:val="110"/>
    <w:qFormat/>
    <w:uiPriority w:val="0"/>
    <w:rPr>
      <w:rFonts w:ascii="宋体"/>
      <w:sz w:val="18"/>
      <w:szCs w:val="18"/>
    </w:rPr>
  </w:style>
  <w:style w:type="paragraph" w:styleId="12">
    <w:name w:val="Body Text 3"/>
    <w:basedOn w:val="1"/>
    <w:qFormat/>
    <w:uiPriority w:val="0"/>
    <w:pPr>
      <w:spacing w:after="120"/>
    </w:pPr>
    <w:rPr>
      <w:color w:val="000000"/>
      <w:sz w:val="24"/>
      <w:szCs w:val="20"/>
    </w:rPr>
  </w:style>
  <w:style w:type="paragraph" w:styleId="13">
    <w:name w:val="Body Text Indent"/>
    <w:basedOn w:val="1"/>
    <w:qFormat/>
    <w:uiPriority w:val="0"/>
    <w:pPr>
      <w:ind w:left="480" w:hanging="480" w:hangingChars="200"/>
    </w:pPr>
    <w:rPr>
      <w:sz w:val="24"/>
    </w:rPr>
  </w:style>
  <w:style w:type="paragraph" w:styleId="14">
    <w:name w:val="Block Text"/>
    <w:basedOn w:val="1"/>
    <w:unhideWhenUsed/>
    <w:qFormat/>
    <w:uiPriority w:val="0"/>
    <w:pPr>
      <w:spacing w:after="120" w:afterLines="0"/>
      <w:ind w:left="1440" w:leftChars="700" w:right="1440" w:rightChars="700"/>
    </w:pPr>
    <w:rPr>
      <w:rFonts w:ascii="Calibri" w:hAnsi="Calibri"/>
      <w:szCs w:val="22"/>
    </w:rPr>
  </w:style>
  <w:style w:type="paragraph" w:styleId="15">
    <w:name w:val="toc 3"/>
    <w:basedOn w:val="1"/>
    <w:next w:val="1"/>
    <w:unhideWhenUsed/>
    <w:qFormat/>
    <w:uiPriority w:val="39"/>
    <w:pPr>
      <w:ind w:left="840" w:leftChars="400"/>
    </w:pPr>
    <w:rPr>
      <w:rFonts w:ascii="Calibri" w:hAnsi="Calibri"/>
      <w:szCs w:val="22"/>
    </w:rPr>
  </w:style>
  <w:style w:type="paragraph" w:styleId="16">
    <w:name w:val="Plain Text"/>
    <w:basedOn w:val="1"/>
    <w:link w:val="111"/>
    <w:qFormat/>
    <w:uiPriority w:val="0"/>
    <w:pPr>
      <w:widowControl/>
      <w:overflowPunct w:val="0"/>
      <w:autoSpaceDE w:val="0"/>
      <w:autoSpaceDN w:val="0"/>
      <w:adjustRightInd w:val="0"/>
      <w:jc w:val="left"/>
      <w:textAlignment w:val="baseline"/>
    </w:pPr>
    <w:rPr>
      <w:rFonts w:ascii="Wingdings" w:hAnsi="长城仿宋" w:eastAsia="Wingdings"/>
      <w:kern w:val="0"/>
      <w:szCs w:val="21"/>
    </w:rPr>
  </w:style>
  <w:style w:type="paragraph" w:styleId="17">
    <w:name w:val="Date"/>
    <w:basedOn w:val="1"/>
    <w:next w:val="1"/>
    <w:qFormat/>
    <w:uiPriority w:val="0"/>
    <w:pPr>
      <w:ind w:left="100" w:leftChars="2500"/>
    </w:pPr>
    <w:rPr>
      <w:szCs w:val="20"/>
    </w:rPr>
  </w:style>
  <w:style w:type="paragraph" w:styleId="18">
    <w:name w:val="Body Text Indent 2"/>
    <w:basedOn w:val="1"/>
    <w:qFormat/>
    <w:uiPriority w:val="0"/>
    <w:pPr>
      <w:spacing w:line="500" w:lineRule="exact"/>
      <w:ind w:firstLine="511" w:firstLineChars="213"/>
    </w:pPr>
    <w:rPr>
      <w:sz w:val="24"/>
    </w:rPr>
  </w:style>
  <w:style w:type="paragraph" w:styleId="19">
    <w:name w:val="Balloon Text"/>
    <w:basedOn w:val="1"/>
    <w:link w:val="127"/>
    <w:qFormat/>
    <w:uiPriority w:val="99"/>
    <w:rPr>
      <w:sz w:val="18"/>
      <w:szCs w:val="18"/>
    </w:rPr>
  </w:style>
  <w:style w:type="paragraph" w:styleId="20">
    <w:name w:val="footer"/>
    <w:basedOn w:val="1"/>
    <w:link w:val="114"/>
    <w:qFormat/>
    <w:uiPriority w:val="99"/>
    <w:pPr>
      <w:tabs>
        <w:tab w:val="center" w:pos="4153"/>
        <w:tab w:val="right" w:pos="8306"/>
      </w:tabs>
      <w:snapToGrid w:val="0"/>
      <w:jc w:val="left"/>
    </w:pPr>
    <w:rPr>
      <w:rFonts w:eastAsia="Wingdings"/>
      <w:sz w:val="18"/>
      <w:szCs w:val="18"/>
    </w:rPr>
  </w:style>
  <w:style w:type="paragraph" w:styleId="21">
    <w:name w:val="envelope return"/>
    <w:basedOn w:val="1"/>
    <w:unhideWhenUsed/>
    <w:qFormat/>
    <w:uiPriority w:val="0"/>
    <w:pPr>
      <w:widowControl w:val="0"/>
      <w:snapToGrid w:val="0"/>
      <w:jc w:val="both"/>
    </w:pPr>
    <w:rPr>
      <w:rFonts w:ascii="Arial" w:hAnsi="Arial" w:eastAsia="宋体" w:cs="Arial"/>
      <w:kern w:val="2"/>
      <w:szCs w:val="21"/>
    </w:rPr>
  </w:style>
  <w:style w:type="paragraph" w:styleId="22">
    <w:name w:val="header"/>
    <w:basedOn w:val="1"/>
    <w:next w:val="1"/>
    <w:link w:val="133"/>
    <w:qFormat/>
    <w:uiPriority w:val="99"/>
    <w:pPr>
      <w:pBdr>
        <w:bottom w:val="single" w:color="auto" w:sz="6" w:space="1"/>
      </w:pBdr>
      <w:tabs>
        <w:tab w:val="center" w:pos="4153"/>
        <w:tab w:val="right" w:pos="8306"/>
      </w:tabs>
      <w:snapToGrid w:val="0"/>
      <w:jc w:val="center"/>
    </w:pPr>
    <w:rPr>
      <w:rFonts w:eastAsia="Wingdings"/>
      <w:sz w:val="18"/>
      <w:szCs w:val="18"/>
    </w:rPr>
  </w:style>
  <w:style w:type="paragraph" w:styleId="23">
    <w:name w:val="toc 1"/>
    <w:basedOn w:val="1"/>
    <w:next w:val="1"/>
    <w:qFormat/>
    <w:uiPriority w:val="39"/>
    <w:pPr>
      <w:tabs>
        <w:tab w:val="right" w:leader="dot" w:pos="9061"/>
      </w:tabs>
      <w:spacing w:line="480" w:lineRule="auto"/>
      <w:ind w:left="358" w:hanging="358" w:hangingChars="128"/>
    </w:p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ind w:left="420" w:leftChars="200"/>
    </w:pPr>
  </w:style>
  <w:style w:type="paragraph" w:styleId="26">
    <w:name w:val="Body Text 2"/>
    <w:basedOn w:val="1"/>
    <w:qFormat/>
    <w:uiPriority w:val="0"/>
    <w:pPr>
      <w:spacing w:line="400" w:lineRule="exact"/>
    </w:pPr>
    <w:rPr>
      <w:rFonts w:ascii="仿宋_GB2312" w:eastAsia="仿宋_GB2312"/>
      <w:sz w:val="28"/>
      <w:szCs w:val="28"/>
    </w:rPr>
  </w:style>
  <w:style w:type="paragraph" w:styleId="27">
    <w:name w:val="HTML Preformatted"/>
    <w:basedOn w:val="1"/>
    <w:link w:val="1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8">
    <w:name w:val="Normal (Web)"/>
    <w:basedOn w:val="1"/>
    <w:qFormat/>
    <w:uiPriority w:val="99"/>
    <w:pPr>
      <w:widowControl/>
      <w:spacing w:before="100" w:beforeAutospacing="1" w:after="100" w:afterAutospacing="1"/>
      <w:jc w:val="left"/>
    </w:pPr>
    <w:rPr>
      <w:rFonts w:ascii="Wingdings" w:hAnsi="Wingdings" w:cs="Wingdings"/>
      <w:kern w:val="0"/>
      <w:sz w:val="24"/>
    </w:rPr>
  </w:style>
  <w:style w:type="character" w:styleId="30">
    <w:name w:val="page number"/>
    <w:basedOn w:val="29"/>
    <w:qFormat/>
    <w:uiPriority w:val="0"/>
    <w:rPr>
      <w:rFonts w:ascii="Times New Roman" w:hAnsi="Times New Roman" w:cs="Times New Roman"/>
      <w:sz w:val="21"/>
      <w:szCs w:val="24"/>
    </w:rPr>
  </w:style>
  <w:style w:type="character" w:styleId="31">
    <w:name w:val="FollowedHyperlink"/>
    <w:qFormat/>
    <w:uiPriority w:val="0"/>
    <w:rPr>
      <w:color w:val="800080"/>
      <w:u w:val="single"/>
    </w:rPr>
  </w:style>
  <w:style w:type="character" w:styleId="32">
    <w:name w:val="Emphasis"/>
    <w:qFormat/>
    <w:uiPriority w:val="0"/>
    <w:rPr>
      <w:rFonts w:ascii="Times New Roman" w:hAnsi="Times New Roman" w:cs="Times New Roman"/>
      <w:color w:val="CC0000"/>
      <w:sz w:val="21"/>
      <w:szCs w:val="24"/>
    </w:rPr>
  </w:style>
  <w:style w:type="character" w:styleId="33">
    <w:name w:val="Hyperlink"/>
    <w:basedOn w:val="29"/>
    <w:qFormat/>
    <w:uiPriority w:val="99"/>
    <w:rPr>
      <w:color w:val="0000FF"/>
      <w:u w:val="single"/>
    </w:rPr>
  </w:style>
  <w:style w:type="character" w:styleId="34">
    <w:name w:val="annotation reference"/>
    <w:qFormat/>
    <w:uiPriority w:val="0"/>
    <w:rPr>
      <w:sz w:val="21"/>
      <w:szCs w:val="21"/>
    </w:rPr>
  </w:style>
  <w:style w:type="character" w:styleId="35">
    <w:name w:val="HTML Cite"/>
    <w:qFormat/>
    <w:uiPriority w:val="0"/>
    <w:rPr>
      <w:rFonts w:ascii="Times New Roman" w:hAnsi="Times New Roman" w:cs="Times New Roman"/>
      <w:color w:val="008000"/>
      <w:sz w:val="21"/>
      <w:szCs w:val="24"/>
    </w:rPr>
  </w:style>
  <w:style w:type="table" w:styleId="37">
    <w:name w:val="Table Grid"/>
    <w:basedOn w:val="36"/>
    <w:qFormat/>
    <w:uiPriority w:val="0"/>
    <w:pPr>
      <w:widowControl w:val="0"/>
      <w:jc w:val="both"/>
    </w:pPr>
    <w:tblPr>
      <w:tblStyle w:val="3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38">
    <w:name w:val="列出段落11"/>
    <w:basedOn w:val="1"/>
    <w:link w:val="130"/>
    <w:qFormat/>
    <w:uiPriority w:val="34"/>
    <w:pPr>
      <w:ind w:firstLine="420" w:firstLineChars="200"/>
    </w:pPr>
    <w:rPr>
      <w:rFonts w:ascii="Calibri" w:hAnsi="Calibri"/>
      <w:szCs w:val="22"/>
    </w:rPr>
  </w:style>
  <w:style w:type="paragraph" w:customStyle="1" w:styleId="39">
    <w:name w:val="段"/>
    <w:qFormat/>
    <w:uiPriority w:val="0"/>
    <w:pPr>
      <w:autoSpaceDE w:val="0"/>
      <w:autoSpaceDN w:val="0"/>
      <w:ind w:firstLine="200" w:firstLineChars="200"/>
      <w:jc w:val="both"/>
    </w:pPr>
    <w:rPr>
      <w:rFonts w:ascii="Wingdings" w:hAnsi="Times New Roman" w:eastAsia="宋体" w:cs="Times New Roman"/>
      <w:sz w:val="21"/>
      <w:lang w:val="en-US" w:eastAsia="zh-CN" w:bidi="ar-SA"/>
    </w:rPr>
  </w:style>
  <w:style w:type="paragraph" w:customStyle="1" w:styleId="40">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Char Char1 Char Char Char Char Char Char Char Char Char Char Char Char"/>
    <w:basedOn w:val="1"/>
    <w:qFormat/>
    <w:uiPriority w:val="0"/>
  </w:style>
  <w:style w:type="paragraph" w:customStyle="1" w:styleId="4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
    <w:name w:val="列出段落1"/>
    <w:basedOn w:val="1"/>
    <w:qFormat/>
    <w:uiPriority w:val="0"/>
    <w:pPr>
      <w:ind w:firstLine="420" w:firstLineChars="200"/>
    </w:pPr>
    <w:rPr>
      <w:rFonts w:ascii="Courier New" w:hAnsi="Courier New" w:cs="Courier New"/>
      <w:szCs w:val="21"/>
    </w:rPr>
  </w:style>
  <w:style w:type="paragraph" w:customStyle="1" w:styleId="44">
    <w:name w:val="彩色列表1"/>
    <w:basedOn w:val="1"/>
    <w:qFormat/>
    <w:uiPriority w:val="0"/>
    <w:pPr>
      <w:spacing w:line="360" w:lineRule="auto"/>
      <w:ind w:firstLine="420" w:firstLineChars="200"/>
    </w:pPr>
    <w:rPr>
      <w:sz w:val="24"/>
    </w:rPr>
  </w:style>
  <w:style w:type="paragraph" w:customStyle="1" w:styleId="45">
    <w:name w:val="xl8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6">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7">
    <w:name w:val="Char Char Char Char"/>
    <w:basedOn w:val="11"/>
    <w:qFormat/>
    <w:uiPriority w:val="0"/>
    <w:pPr>
      <w:shd w:val="clear" w:color="auto" w:fill="000080"/>
    </w:pPr>
    <w:rPr>
      <w:rFonts w:ascii="Times New Roman"/>
      <w:sz w:val="21"/>
      <w:szCs w:val="24"/>
    </w:rPr>
  </w:style>
  <w:style w:type="paragraph" w:customStyle="1" w:styleId="48">
    <w:name w:val="标题6"/>
    <w:basedOn w:val="1"/>
    <w:next w:val="2"/>
    <w:qFormat/>
    <w:uiPriority w:val="0"/>
    <w:pPr>
      <w:widowControl/>
      <w:snapToGrid w:val="0"/>
      <w:spacing w:beforeLines="50" w:afterLines="50" w:line="520" w:lineRule="atLeast"/>
      <w:ind w:firstLine="200" w:firstLineChars="200"/>
    </w:pPr>
    <w:rPr>
      <w:rFonts w:cs="黑体"/>
      <w:b/>
      <w:sz w:val="24"/>
    </w:rPr>
  </w:style>
  <w:style w:type="paragraph" w:customStyle="1" w:styleId="49">
    <w:name w:val="Char Char Char Char1 Char Char Char Char"/>
    <w:basedOn w:val="1"/>
    <w:qFormat/>
    <w:uiPriority w:val="0"/>
    <w:pPr>
      <w:widowControl/>
      <w:spacing w:after="160" w:line="240" w:lineRule="exact"/>
      <w:jc w:val="left"/>
    </w:pPr>
    <w:rPr>
      <w:szCs w:val="20"/>
    </w:rPr>
  </w:style>
  <w:style w:type="paragraph" w:customStyle="1" w:styleId="50">
    <w:name w:val="默认段落字体 Para Char Char Char Char"/>
    <w:basedOn w:val="1"/>
    <w:qFormat/>
    <w:uiPriority w:val="0"/>
    <w:rPr>
      <w:szCs w:val="20"/>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2">
    <w:name w:val="内文正文"/>
    <w:qFormat/>
    <w:uiPriority w:val="99"/>
    <w:pPr>
      <w:autoSpaceDE w:val="0"/>
      <w:autoSpaceDN w:val="0"/>
      <w:spacing w:line="400" w:lineRule="exact"/>
      <w:ind w:firstLine="200" w:firstLineChars="200"/>
      <w:jc w:val="both"/>
      <w:textAlignment w:val="bottom"/>
    </w:pPr>
    <w:rPr>
      <w:rFonts w:ascii="宋体" w:hAnsi="???|CS?o｡ﾀ?" w:eastAsia="宋体" w:cs="Times New Roman"/>
      <w:sz w:val="21"/>
      <w:szCs w:val="22"/>
      <w:lang w:val="en-US" w:eastAsia="zh-CN" w:bidi="ar-SA"/>
    </w:rPr>
  </w:style>
  <w:style w:type="paragraph" w:customStyle="1" w:styleId="53">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4">
    <w:name w:val="Contents2"/>
    <w:basedOn w:val="1"/>
    <w:next w:val="1"/>
    <w:qFormat/>
    <w:uiPriority w:val="0"/>
    <w:pPr>
      <w:spacing w:before="60" w:after="60" w:line="360" w:lineRule="atLeast"/>
      <w:outlineLvl w:val="1"/>
    </w:pPr>
    <w:rPr>
      <w:rFonts w:eastAsia="Tahoma"/>
      <w:b/>
      <w:bCs/>
      <w:sz w:val="28"/>
    </w:rPr>
  </w:style>
  <w:style w:type="paragraph" w:customStyle="1" w:styleId="55">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56">
    <w:name w:val="Char Char Char Char1"/>
    <w:basedOn w:val="1"/>
    <w:qFormat/>
    <w:uiPriority w:val="0"/>
    <w:rPr>
      <w:kern w:val="0"/>
      <w:sz w:val="24"/>
      <w:szCs w:val="20"/>
    </w:rPr>
  </w:style>
  <w:style w:type="paragraph" w:customStyle="1" w:styleId="57">
    <w:name w:val="表头文本"/>
    <w:basedOn w:val="1"/>
    <w:qFormat/>
    <w:uiPriority w:val="0"/>
    <w:pPr>
      <w:autoSpaceDE w:val="0"/>
      <w:autoSpaceDN w:val="0"/>
      <w:adjustRightInd w:val="0"/>
      <w:jc w:val="center"/>
    </w:pPr>
    <w:rPr>
      <w:b/>
      <w:kern w:val="0"/>
      <w:sz w:val="24"/>
      <w:szCs w:val="20"/>
    </w:rPr>
  </w:style>
  <w:style w:type="paragraph" w:customStyle="1" w:styleId="58">
    <w:name w:val="Char Char Char Char Char Char Char Char Char1 Char"/>
    <w:basedOn w:val="1"/>
    <w:qFormat/>
    <w:uiPriority w:val="0"/>
  </w:style>
  <w:style w:type="paragraph" w:customStyle="1" w:styleId="5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CM106"/>
    <w:basedOn w:val="61"/>
    <w:next w:val="61"/>
    <w:qFormat/>
    <w:uiPriority w:val="0"/>
    <w:rPr>
      <w:rFonts w:ascii="宋体" w:cs="Times New Roman"/>
      <w:color w:val="auto"/>
    </w:rPr>
  </w:style>
  <w:style w:type="paragraph" w:customStyle="1" w:styleId="61">
    <w:name w:val="Default"/>
    <w:qFormat/>
    <w:uiPriority w:val="0"/>
    <w:pPr>
      <w:widowControl w:val="0"/>
      <w:autoSpaceDE w:val="0"/>
      <w:autoSpaceDN w:val="0"/>
      <w:adjustRightInd w:val="0"/>
    </w:pPr>
    <w:rPr>
      <w:rFonts w:ascii="仿宋_GB2312" w:hAnsi="Times New Roman" w:eastAsia="宋体" w:cs="仿宋_GB2312"/>
      <w:color w:val="000000"/>
      <w:sz w:val="24"/>
      <w:szCs w:val="24"/>
      <w:lang w:val="en-US" w:eastAsia="zh-CN" w:bidi="ar-SA"/>
    </w:rPr>
  </w:style>
  <w:style w:type="paragraph" w:customStyle="1" w:styleId="62">
    <w:name w:val="招标文件－标准正文"/>
    <w:basedOn w:val="16"/>
    <w:qFormat/>
    <w:uiPriority w:val="0"/>
    <w:pPr>
      <w:spacing w:line="360" w:lineRule="auto"/>
    </w:pPr>
    <w:rPr>
      <w:rFonts w:ascii="Times New Roman" w:hAnsi="Times New Roman" w:eastAsia="宋体" w:cs="宋体"/>
      <w:color w:val="000000"/>
      <w:sz w:val="24"/>
      <w:szCs w:val="20"/>
    </w:rPr>
  </w:style>
  <w:style w:type="paragraph" w:customStyle="1" w:styleId="63">
    <w:name w:val="报告正文 Char1"/>
    <w:basedOn w:val="1"/>
    <w:qFormat/>
    <w:uiPriority w:val="0"/>
    <w:pPr>
      <w:spacing w:line="480" w:lineRule="exact"/>
      <w:ind w:firstLine="200" w:firstLineChars="200"/>
    </w:pPr>
    <w:rPr>
      <w:rFonts w:ascii="宋体" w:cs="宋体"/>
      <w:color w:val="0000FF"/>
      <w:sz w:val="28"/>
      <w:szCs w:val="28"/>
    </w:rPr>
  </w:style>
  <w:style w:type="paragraph" w:customStyle="1" w:styleId="64">
    <w:name w:val="~body text"/>
    <w:basedOn w:val="1"/>
    <w:qFormat/>
    <w:uiPriority w:val="0"/>
    <w:pPr>
      <w:widowControl/>
      <w:spacing w:before="240" w:after="60"/>
      <w:ind w:left="720"/>
      <w:jc w:val="left"/>
    </w:pPr>
    <w:rPr>
      <w:rFonts w:ascii="Arial" w:hAnsi="Arial"/>
      <w:spacing w:val="-2"/>
      <w:kern w:val="28"/>
      <w:sz w:val="22"/>
      <w:szCs w:val="20"/>
      <w:lang w:eastAsia="en-US"/>
    </w:rPr>
  </w:style>
  <w:style w:type="paragraph" w:customStyle="1" w:styleId="65">
    <w:name w:val="正文1"/>
    <w:basedOn w:val="1"/>
    <w:qFormat/>
    <w:uiPriority w:val="0"/>
    <w:pPr>
      <w:spacing w:line="500" w:lineRule="exact"/>
    </w:pPr>
    <w:rPr>
      <w:rFonts w:ascii="黑体" w:hAnsi="黑体"/>
      <w:sz w:val="24"/>
      <w:szCs w:val="20"/>
    </w:rPr>
  </w:style>
  <w:style w:type="paragraph" w:customStyle="1" w:styleId="66">
    <w:name w:val="~indent1"/>
    <w:basedOn w:val="1"/>
    <w:qFormat/>
    <w:uiPriority w:val="0"/>
    <w:pPr>
      <w:widowControl/>
      <w:spacing w:before="60" w:after="60"/>
      <w:ind w:left="1080"/>
      <w:jc w:val="left"/>
    </w:pPr>
    <w:rPr>
      <w:rFonts w:ascii="Arial" w:hAnsi="Arial"/>
      <w:kern w:val="0"/>
      <w:sz w:val="22"/>
      <w:szCs w:val="20"/>
    </w:rPr>
  </w:style>
  <w:style w:type="paragraph" w:customStyle="1" w:styleId="67">
    <w:name w:val="Char Char"/>
    <w:basedOn w:val="1"/>
    <w:qFormat/>
    <w:uiPriority w:val="0"/>
  </w:style>
  <w:style w:type="paragraph" w:customStyle="1" w:styleId="6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
    <w:name w:val="font9"/>
    <w:basedOn w:val="1"/>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70">
    <w:name w:val="xl8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
    <w:name w:val="Char Char Char Char Char Char Char Char Char Char Char Char Char"/>
    <w:basedOn w:val="1"/>
    <w:qFormat/>
    <w:uiPriority w:val="0"/>
    <w:rPr>
      <w:rFonts w:ascii="Univers LT Std 57 Cn" w:hAnsi="Univers LT Std 57 Cn"/>
      <w:sz w:val="24"/>
      <w:szCs w:val="20"/>
    </w:rPr>
  </w:style>
  <w:style w:type="paragraph" w:customStyle="1" w:styleId="7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u w:val="single"/>
    </w:rPr>
  </w:style>
  <w:style w:type="paragraph" w:customStyle="1" w:styleId="7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7">
    <w:name w:val="无间隔1"/>
    <w:qFormat/>
    <w:uiPriority w:val="0"/>
    <w:pPr>
      <w:widowControl w:val="0"/>
      <w:jc w:val="both"/>
    </w:pPr>
    <w:rPr>
      <w:rFonts w:ascii="Courier New" w:hAnsi="Courier New" w:eastAsia="宋体" w:cs="Courier New"/>
      <w:kern w:val="2"/>
      <w:sz w:val="21"/>
      <w:szCs w:val="21"/>
      <w:lang w:val="en-US" w:eastAsia="zh-CN" w:bidi="ar-SA"/>
    </w:rPr>
  </w:style>
  <w:style w:type="paragraph" w:customStyle="1" w:styleId="7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9">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0">
    <w:name w:val="Char Char Char Char Char Char Char"/>
    <w:basedOn w:val="1"/>
    <w:qFormat/>
    <w:uiPriority w:val="0"/>
  </w:style>
  <w:style w:type="paragraph" w:customStyle="1" w:styleId="8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3">
    <w:name w:val="样式 宋体 小四 首行缩进:  0.93 厘米 段前: 11.15 磅 段后: 11.15 磅1"/>
    <w:basedOn w:val="1"/>
    <w:qFormat/>
    <w:uiPriority w:val="0"/>
    <w:pPr>
      <w:adjustRightInd w:val="0"/>
      <w:snapToGrid w:val="0"/>
      <w:ind w:left="200" w:leftChars="200"/>
    </w:pPr>
    <w:rPr>
      <w:rFonts w:ascii="宋体" w:cs="宋体"/>
      <w:sz w:val="24"/>
      <w:szCs w:val="20"/>
    </w:rPr>
  </w:style>
  <w:style w:type="paragraph" w:customStyle="1" w:styleId="84">
    <w:name w:val="表内文字"/>
    <w:basedOn w:val="1"/>
    <w:qFormat/>
    <w:uiPriority w:val="0"/>
    <w:pPr>
      <w:adjustRightInd w:val="0"/>
      <w:snapToGrid w:val="0"/>
      <w:spacing w:line="500" w:lineRule="atLeast"/>
      <w:jc w:val="center"/>
    </w:pPr>
    <w:rPr>
      <w:rFonts w:ascii="黑体" w:hAnsi="黑体" w:eastAsia="长城仿宋" w:cs="黑体"/>
      <w:sz w:val="24"/>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6">
    <w:name w:val="Char Char2 Char"/>
    <w:basedOn w:val="1"/>
    <w:qFormat/>
    <w:uiPriority w:val="0"/>
    <w:pPr>
      <w:keepNext/>
      <w:keepLines/>
      <w:pageBreakBefore/>
      <w:tabs>
        <w:tab w:val="left" w:pos="845"/>
      </w:tabs>
      <w:ind w:left="845" w:hanging="420"/>
    </w:pPr>
    <w:rPr>
      <w:szCs w:val="20"/>
    </w:rPr>
  </w:style>
  <w:style w:type="paragraph" w:customStyle="1" w:styleId="8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8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u w:val="single"/>
    </w:rPr>
  </w:style>
  <w:style w:type="paragraph" w:customStyle="1" w:styleId="8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0">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2">
    <w:name w:val="List Paragraph"/>
    <w:basedOn w:val="1"/>
    <w:qFormat/>
    <w:uiPriority w:val="99"/>
    <w:pPr>
      <w:ind w:firstLine="420" w:firstLineChars="200"/>
    </w:pPr>
  </w:style>
  <w:style w:type="paragraph" w:customStyle="1" w:styleId="93">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94">
    <w:name w:val="Sublisttext"/>
    <w:next w:val="95"/>
    <w:qFormat/>
    <w:uiPriority w:val="0"/>
    <w:pPr>
      <w:spacing w:before="80" w:after="80" w:line="240" w:lineRule="atLeast"/>
      <w:ind w:left="958"/>
    </w:pPr>
    <w:rPr>
      <w:rFonts w:ascii="Times New Roman" w:hAnsi="Times New Roman" w:eastAsia="宋体" w:cs="Times New Roman"/>
      <w:kern w:val="2"/>
      <w:sz w:val="21"/>
      <w:szCs w:val="24"/>
      <w:lang w:val="en-US" w:eastAsia="zh-CN" w:bidi="ar-SA"/>
    </w:rPr>
  </w:style>
  <w:style w:type="paragraph" w:customStyle="1" w:styleId="95">
    <w:name w:val="Sublist"/>
    <w:qFormat/>
    <w:uiPriority w:val="0"/>
    <w:pPr>
      <w:tabs>
        <w:tab w:val="left" w:pos="391"/>
      </w:tabs>
      <w:spacing w:before="80" w:after="80" w:line="240" w:lineRule="atLeast"/>
      <w:ind w:left="391" w:hanging="391"/>
    </w:pPr>
    <w:rPr>
      <w:rFonts w:ascii="Times New Roman" w:hAnsi="Times New Roman" w:eastAsia="宋体" w:cs="Times New Roman"/>
      <w:kern w:val="2"/>
      <w:sz w:val="21"/>
      <w:szCs w:val="24"/>
      <w:lang w:val="en-US" w:eastAsia="zh-CN" w:bidi="ar-SA"/>
    </w:rPr>
  </w:style>
  <w:style w:type="paragraph" w:customStyle="1" w:styleId="96">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9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9">
    <w:name w:val="Char"/>
    <w:basedOn w:val="1"/>
    <w:qFormat/>
    <w:uiPriority w:val="0"/>
    <w:rPr>
      <w:rFonts w:ascii="仿宋_GB2312" w:eastAsia="仿宋_GB2312"/>
      <w:b/>
      <w:sz w:val="32"/>
      <w:szCs w:val="32"/>
    </w:rPr>
  </w:style>
  <w:style w:type="paragraph" w:customStyle="1" w:styleId="100">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1">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02">
    <w:name w:val="保留正文"/>
    <w:basedOn w:val="9"/>
    <w:qFormat/>
    <w:uiPriority w:val="0"/>
    <w:pPr>
      <w:keepNext/>
      <w:spacing w:after="160"/>
    </w:pPr>
    <w:rPr>
      <w:rFonts w:ascii="黑体" w:hAnsi="黑体" w:eastAsia="Wingdings" w:cs="黑体"/>
    </w:rPr>
  </w:style>
  <w:style w:type="paragraph" w:customStyle="1" w:styleId="103">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0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05">
    <w:name w:val="缺省文本"/>
    <w:basedOn w:val="1"/>
    <w:qFormat/>
    <w:uiPriority w:val="0"/>
    <w:pPr>
      <w:autoSpaceDE w:val="0"/>
      <w:autoSpaceDN w:val="0"/>
      <w:adjustRightInd w:val="0"/>
      <w:jc w:val="left"/>
    </w:pPr>
    <w:rPr>
      <w:kern w:val="0"/>
      <w:sz w:val="24"/>
    </w:rPr>
  </w:style>
  <w:style w:type="paragraph" w:customStyle="1" w:styleId="106">
    <w:name w:val="_Style 5"/>
    <w:basedOn w:val="11"/>
    <w:qFormat/>
    <w:uiPriority w:val="0"/>
    <w:pPr>
      <w:shd w:val="clear" w:color="auto" w:fill="000080"/>
    </w:pPr>
    <w:rPr>
      <w:rFonts w:ascii="Times New Roman"/>
      <w:sz w:val="21"/>
      <w:szCs w:val="24"/>
    </w:rPr>
  </w:style>
  <w:style w:type="paragraph" w:customStyle="1" w:styleId="10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08">
    <w:name w:val="1"/>
    <w:basedOn w:val="9"/>
    <w:next w:val="8"/>
    <w:link w:val="135"/>
    <w:qFormat/>
    <w:uiPriority w:val="0"/>
    <w:pPr>
      <w:ind w:firstLine="420" w:firstLineChars="100"/>
    </w:pPr>
    <w:rPr>
      <w:rFonts w:ascii="Arial" w:hAnsi="Arial"/>
    </w:rPr>
  </w:style>
  <w:style w:type="character" w:customStyle="1" w:styleId="109">
    <w:name w:val="font51"/>
    <w:qFormat/>
    <w:uiPriority w:val="0"/>
    <w:rPr>
      <w:rFonts w:hint="default" w:ascii="Times New Roman" w:hAnsi="Times New Roman" w:cs="Times New Roman"/>
      <w:color w:val="000000"/>
      <w:sz w:val="24"/>
      <w:szCs w:val="24"/>
      <w:u w:val="none"/>
    </w:rPr>
  </w:style>
  <w:style w:type="character" w:customStyle="1" w:styleId="110">
    <w:name w:val="文档结构图 Char"/>
    <w:link w:val="11"/>
    <w:qFormat/>
    <w:uiPriority w:val="0"/>
    <w:rPr>
      <w:rFonts w:ascii="宋体"/>
      <w:kern w:val="2"/>
      <w:sz w:val="18"/>
      <w:szCs w:val="18"/>
    </w:rPr>
  </w:style>
  <w:style w:type="character" w:customStyle="1" w:styleId="111">
    <w:name w:val="纯文本 Char"/>
    <w:link w:val="16"/>
    <w:qFormat/>
    <w:uiPriority w:val="0"/>
    <w:rPr>
      <w:rFonts w:ascii="Wingdings" w:hAnsi="长城仿宋" w:eastAsia="Wingdings"/>
      <w:sz w:val="21"/>
      <w:szCs w:val="21"/>
      <w:lang w:val="en-US" w:eastAsia="zh-CN" w:bidi="ar-SA"/>
    </w:rPr>
  </w:style>
  <w:style w:type="character" w:customStyle="1" w:styleId="112">
    <w:name w:val="chs1"/>
    <w:qFormat/>
    <w:uiPriority w:val="0"/>
    <w:rPr>
      <w:rFonts w:hint="default" w:cs="Times New Roman"/>
      <w:sz w:val="18"/>
      <w:szCs w:val="18"/>
    </w:rPr>
  </w:style>
  <w:style w:type="character" w:customStyle="1" w:styleId="113">
    <w:name w:val="标题 4 Char"/>
    <w:link w:val="5"/>
    <w:semiHidden/>
    <w:qFormat/>
    <w:uiPriority w:val="0"/>
    <w:rPr>
      <w:rFonts w:ascii="Cambria" w:hAnsi="Cambria" w:eastAsia="宋体" w:cs="Times New Roman"/>
      <w:b/>
      <w:bCs/>
      <w:kern w:val="2"/>
      <w:sz w:val="28"/>
      <w:szCs w:val="28"/>
    </w:rPr>
  </w:style>
  <w:style w:type="character" w:customStyle="1" w:styleId="114">
    <w:name w:val="页脚 Char"/>
    <w:link w:val="20"/>
    <w:qFormat/>
    <w:uiPriority w:val="99"/>
    <w:rPr>
      <w:rFonts w:eastAsia="Wingdings"/>
      <w:kern w:val="2"/>
      <w:sz w:val="18"/>
      <w:szCs w:val="18"/>
      <w:lang w:val="en-US" w:eastAsia="zh-CN" w:bidi="ar-SA"/>
    </w:rPr>
  </w:style>
  <w:style w:type="character" w:customStyle="1" w:styleId="115">
    <w:name w:val="纯文本 字符1"/>
    <w:qFormat/>
    <w:uiPriority w:val="0"/>
    <w:rPr>
      <w:rFonts w:ascii="Wingdings" w:hAnsi="长城仿宋" w:eastAsia="Wingdings"/>
      <w:kern w:val="2"/>
      <w:sz w:val="21"/>
      <w:szCs w:val="21"/>
    </w:rPr>
  </w:style>
  <w:style w:type="character" w:customStyle="1" w:styleId="116">
    <w:name w:val="font01"/>
    <w:qFormat/>
    <w:uiPriority w:val="0"/>
    <w:rPr>
      <w:rFonts w:hint="eastAsia" w:ascii="宋体" w:hAnsi="宋体" w:eastAsia="宋体" w:cs="宋体"/>
      <w:color w:val="FF0000"/>
      <w:sz w:val="24"/>
      <w:szCs w:val="24"/>
      <w:u w:val="none"/>
    </w:rPr>
  </w:style>
  <w:style w:type="character" w:customStyle="1" w:styleId="117">
    <w:name w:val="正文缩进 Char"/>
    <w:qFormat/>
    <w:uiPriority w:val="0"/>
    <w:rPr>
      <w:rFonts w:eastAsia="Wingdings"/>
      <w:sz w:val="21"/>
      <w:lang w:val="en-US" w:eastAsia="zh-CN" w:bidi="ar-SA"/>
    </w:rPr>
  </w:style>
  <w:style w:type="character" w:customStyle="1" w:styleId="118">
    <w:name w:val="标题 1 Char"/>
    <w:link w:val="2"/>
    <w:qFormat/>
    <w:uiPriority w:val="0"/>
    <w:rPr>
      <w:rFonts w:ascii="长城仿宋" w:hAnsi="Times New Roman" w:eastAsia="长城仿宋" w:cs="Times New Roman"/>
      <w:b/>
      <w:bCs/>
      <w:kern w:val="2"/>
      <w:sz w:val="21"/>
      <w:szCs w:val="24"/>
    </w:rPr>
  </w:style>
  <w:style w:type="character" w:customStyle="1" w:styleId="119">
    <w:name w:val="署名 Char"/>
    <w:qFormat/>
    <w:uiPriority w:val="0"/>
    <w:rPr>
      <w:rFonts w:eastAsia="宋体"/>
      <w:kern w:val="28"/>
      <w:sz w:val="28"/>
      <w:lang w:val="en-US" w:eastAsia="zh-CN" w:bidi="ar-SA"/>
    </w:rPr>
  </w:style>
  <w:style w:type="character" w:customStyle="1" w:styleId="120">
    <w:name w:val="op-map-singlepoint-info-right1"/>
    <w:basedOn w:val="29"/>
    <w:qFormat/>
    <w:uiPriority w:val="0"/>
    <w:rPr>
      <w:rFonts w:ascii="Times New Roman" w:hAnsi="Times New Roman" w:cs="Times New Roman"/>
      <w:sz w:val="21"/>
      <w:szCs w:val="24"/>
    </w:rPr>
  </w:style>
  <w:style w:type="character" w:customStyle="1" w:styleId="121">
    <w:name w:val="font71"/>
    <w:qFormat/>
    <w:uiPriority w:val="0"/>
    <w:rPr>
      <w:rFonts w:hint="eastAsia" w:ascii="宋体" w:hAnsi="宋体" w:eastAsia="宋体" w:cs="宋体"/>
      <w:color w:val="000000"/>
      <w:sz w:val="24"/>
      <w:szCs w:val="24"/>
      <w:u w:val="none"/>
    </w:rPr>
  </w:style>
  <w:style w:type="character" w:customStyle="1" w:styleId="122">
    <w:name w:val="正文首行缩进 Char"/>
    <w:link w:val="8"/>
    <w:qFormat/>
    <w:uiPriority w:val="0"/>
    <w:rPr>
      <w:rFonts w:ascii="Arial" w:hAnsi="Arial"/>
      <w:kern w:val="2"/>
      <w:sz w:val="21"/>
      <w:szCs w:val="24"/>
    </w:rPr>
  </w:style>
  <w:style w:type="character" w:customStyle="1" w:styleId="123">
    <w:name w:val="dash6b63_6587__char"/>
    <w:basedOn w:val="29"/>
    <w:qFormat/>
    <w:uiPriority w:val="0"/>
    <w:rPr>
      <w:rFonts w:ascii="Times New Roman" w:hAnsi="Times New Roman" w:cs="Times New Roman"/>
      <w:sz w:val="21"/>
      <w:szCs w:val="24"/>
    </w:rPr>
  </w:style>
  <w:style w:type="character" w:customStyle="1" w:styleId="124">
    <w:name w:val="标题 3 Char"/>
    <w:link w:val="4"/>
    <w:qFormat/>
    <w:uiPriority w:val="9"/>
    <w:rPr>
      <w:rFonts w:ascii="Times New Roman" w:hAnsi="Times New Roman" w:cs="Times New Roman"/>
      <w:b/>
      <w:kern w:val="2"/>
      <w:sz w:val="28"/>
      <w:szCs w:val="24"/>
    </w:rPr>
  </w:style>
  <w:style w:type="character" w:customStyle="1" w:styleId="125">
    <w:name w:val="正文缩进 Char1"/>
    <w:link w:val="10"/>
    <w:qFormat/>
    <w:uiPriority w:val="0"/>
    <w:rPr>
      <w:rFonts w:eastAsia="Wingdings"/>
      <w:sz w:val="21"/>
      <w:lang w:val="en-US" w:eastAsia="zh-CN" w:bidi="ar-SA"/>
    </w:rPr>
  </w:style>
  <w:style w:type="character" w:customStyle="1" w:styleId="126">
    <w:name w:val="纯文本 Char1"/>
    <w:qFormat/>
    <w:uiPriority w:val="99"/>
    <w:rPr>
      <w:rFonts w:ascii="宋体" w:hAnsi="Courier New"/>
      <w:kern w:val="2"/>
      <w:sz w:val="21"/>
      <w:szCs w:val="24"/>
    </w:rPr>
  </w:style>
  <w:style w:type="character" w:customStyle="1" w:styleId="127">
    <w:name w:val="批注框文本 Char"/>
    <w:link w:val="19"/>
    <w:qFormat/>
    <w:uiPriority w:val="99"/>
    <w:rPr>
      <w:rFonts w:ascii="Times New Roman" w:hAnsi="Times New Roman" w:cs="Times New Roman"/>
      <w:kern w:val="2"/>
      <w:sz w:val="18"/>
      <w:szCs w:val="18"/>
    </w:rPr>
  </w:style>
  <w:style w:type="character" w:customStyle="1" w:styleId="128">
    <w:name w:val="ändrad Char"/>
    <w:qFormat/>
    <w:uiPriority w:val="0"/>
    <w:rPr>
      <w:rFonts w:eastAsia="仿宋_GB2312"/>
      <w:kern w:val="2"/>
      <w:sz w:val="21"/>
      <w:szCs w:val="24"/>
      <w:lang w:val="en-US" w:eastAsia="zh-CN" w:bidi="ar-SA"/>
    </w:rPr>
  </w:style>
  <w:style w:type="character" w:customStyle="1" w:styleId="129">
    <w:name w:val="HTML 预设格式 Char"/>
    <w:link w:val="27"/>
    <w:qFormat/>
    <w:uiPriority w:val="99"/>
    <w:rPr>
      <w:rFonts w:ascii="宋体" w:hAnsi="宋体" w:cs="宋体"/>
      <w:sz w:val="24"/>
      <w:szCs w:val="24"/>
    </w:rPr>
  </w:style>
  <w:style w:type="character" w:customStyle="1" w:styleId="130">
    <w:name w:val="列出段落 Char"/>
    <w:link w:val="38"/>
    <w:qFormat/>
    <w:locked/>
    <w:uiPriority w:val="34"/>
    <w:rPr>
      <w:rFonts w:ascii="Calibri" w:hAnsi="Calibri" w:eastAsia="宋体" w:cs="Times New Roman"/>
      <w:kern w:val="2"/>
      <w:sz w:val="21"/>
      <w:szCs w:val="22"/>
    </w:rPr>
  </w:style>
  <w:style w:type="character" w:customStyle="1" w:styleId="131">
    <w:name w:val="style13"/>
    <w:basedOn w:val="29"/>
    <w:qFormat/>
    <w:uiPriority w:val="0"/>
    <w:rPr>
      <w:rFonts w:ascii="Times New Roman" w:hAnsi="Times New Roman" w:cs="Times New Roman"/>
      <w:sz w:val="21"/>
      <w:szCs w:val="24"/>
    </w:rPr>
  </w:style>
  <w:style w:type="character" w:customStyle="1" w:styleId="132">
    <w:name w:val="Char Char7"/>
    <w:qFormat/>
    <w:uiPriority w:val="0"/>
    <w:rPr>
      <w:rFonts w:eastAsia="仿宋_GB2312"/>
      <w:sz w:val="21"/>
      <w:lang w:val="en-US" w:eastAsia="zh-CN" w:bidi="ar-SA"/>
    </w:rPr>
  </w:style>
  <w:style w:type="character" w:customStyle="1" w:styleId="133">
    <w:name w:val="页眉 Char"/>
    <w:link w:val="22"/>
    <w:qFormat/>
    <w:uiPriority w:val="99"/>
    <w:rPr>
      <w:rFonts w:eastAsia="Wingdings"/>
      <w:kern w:val="2"/>
      <w:sz w:val="18"/>
      <w:szCs w:val="18"/>
      <w:lang w:val="en-US" w:eastAsia="zh-CN" w:bidi="ar-SA"/>
    </w:rPr>
  </w:style>
  <w:style w:type="character" w:customStyle="1" w:styleId="134">
    <w:name w:val="标题 2 Char"/>
    <w:link w:val="3"/>
    <w:qFormat/>
    <w:uiPriority w:val="9"/>
    <w:rPr>
      <w:rFonts w:ascii="黑体" w:hAnsi="黑体" w:eastAsia="Tahoma" w:cs="Times New Roman"/>
      <w:b/>
      <w:bCs/>
      <w:kern w:val="2"/>
      <w:sz w:val="32"/>
      <w:szCs w:val="32"/>
    </w:rPr>
  </w:style>
  <w:style w:type="character" w:customStyle="1" w:styleId="135">
    <w:name w:val="正文文本首行缩进 字符"/>
    <w:link w:val="108"/>
    <w:qFormat/>
    <w:uiPriority w:val="0"/>
    <w:rPr>
      <w:rFonts w:ascii="Arial" w:hAnsi="Arial"/>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36</Pages>
  <Words>4038</Words>
  <Characters>23020</Characters>
  <Lines>191</Lines>
  <Paragraphs>54</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2019-12-10T01:21:00Z</dcterms:created>
  <dc:creator>Ray</dc:creator>
  <cp:lastModifiedBy>Lenovo</cp:lastModifiedBy>
  <cp:lastPrinted>2022-05-06T07:36:00Z</cp:lastPrinted>
  <dcterms:modified xsi:type="dcterms:W3CDTF">2023-03-17T08:20:28Z</dcterms:modified>
  <dc:title>温州市政府分散采购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CF3116E3474147A8B0BE95FC818CCB67</vt:lpwstr>
  </property>
</Properties>
</file>